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DE4284" w:rsidRDefault="00486511" w:rsidP="00486511">
      <w:pPr>
        <w:ind w:firstLine="708"/>
        <w:jc w:val="right"/>
        <w:rPr>
          <w:rFonts w:ascii="Times New Roman" w:hAnsi="Times New Roman" w:cs="Times New Roman"/>
          <w:b/>
        </w:rPr>
      </w:pPr>
      <w:r w:rsidRPr="00DE4284">
        <w:rPr>
          <w:rFonts w:ascii="Times New Roman" w:hAnsi="Times New Roman" w:cs="Times New Roman"/>
          <w:b/>
        </w:rPr>
        <w:t>Приложение № 3а</w:t>
      </w:r>
    </w:p>
    <w:p w:rsidR="00230093" w:rsidRPr="00DE4284" w:rsidRDefault="00230093" w:rsidP="00230093">
      <w:pPr>
        <w:spacing w:after="120"/>
        <w:jc w:val="center"/>
        <w:rPr>
          <w:rFonts w:ascii="Times New Roman" w:hAnsi="Times New Roman" w:cs="Times New Roman"/>
          <w:b/>
          <w:lang w:eastAsia="bg-BG"/>
        </w:rPr>
      </w:pPr>
      <w:r w:rsidRPr="00DE4284">
        <w:rPr>
          <w:rFonts w:ascii="Times New Roman" w:hAnsi="Times New Roman" w:cs="Times New Roman"/>
          <w:b/>
          <w:lang w:eastAsia="bg-BG"/>
        </w:rPr>
        <w:t xml:space="preserve">Ключови индикатори за изпълнение на политиките и целеви стойности за периода </w:t>
      </w:r>
      <w:r w:rsidR="00335542" w:rsidRPr="00DE4284">
        <w:rPr>
          <w:rFonts w:ascii="Times New Roman" w:hAnsi="Times New Roman" w:cs="Times New Roman"/>
          <w:b/>
          <w:lang w:eastAsia="bg-BG"/>
        </w:rPr>
        <w:t>202</w:t>
      </w:r>
      <w:r w:rsidR="008B72CE" w:rsidRPr="00DE4284">
        <w:rPr>
          <w:rFonts w:ascii="Times New Roman" w:hAnsi="Times New Roman" w:cs="Times New Roman"/>
          <w:b/>
          <w:lang w:eastAsia="bg-BG"/>
        </w:rPr>
        <w:t>5</w:t>
      </w:r>
      <w:r w:rsidRPr="00DE4284">
        <w:rPr>
          <w:rFonts w:ascii="Times New Roman" w:hAnsi="Times New Roman" w:cs="Times New Roman"/>
          <w:b/>
          <w:lang w:eastAsia="bg-BG"/>
        </w:rPr>
        <w:t>-</w:t>
      </w:r>
      <w:r w:rsidR="00335542" w:rsidRPr="00DE4284">
        <w:rPr>
          <w:rFonts w:ascii="Times New Roman" w:hAnsi="Times New Roman" w:cs="Times New Roman"/>
          <w:b/>
          <w:lang w:eastAsia="bg-BG"/>
        </w:rPr>
        <w:t>202</w:t>
      </w:r>
      <w:r w:rsidR="008B72CE" w:rsidRPr="00DE4284">
        <w:rPr>
          <w:rFonts w:ascii="Times New Roman" w:hAnsi="Times New Roman" w:cs="Times New Roman"/>
          <w:b/>
          <w:lang w:eastAsia="bg-BG"/>
        </w:rPr>
        <w:t>7</w:t>
      </w:r>
      <w:r w:rsidR="00335542" w:rsidRPr="00DE4284">
        <w:rPr>
          <w:rFonts w:ascii="Times New Roman" w:hAnsi="Times New Roman" w:cs="Times New Roman"/>
          <w:b/>
          <w:lang w:eastAsia="bg-BG"/>
        </w:rPr>
        <w:t xml:space="preserve"> </w:t>
      </w:r>
      <w:r w:rsidRPr="00DE4284">
        <w:rPr>
          <w:rFonts w:ascii="Times New Roman" w:hAnsi="Times New Roman" w:cs="Times New Roman"/>
          <w:b/>
          <w:lang w:eastAsia="bg-BG"/>
        </w:rPr>
        <w:t xml:space="preserve">г. </w:t>
      </w:r>
    </w:p>
    <w:p w:rsidR="00230093" w:rsidRPr="00DE4284" w:rsidRDefault="00230093" w:rsidP="00230093">
      <w:pPr>
        <w:pStyle w:val="Heading1"/>
        <w:ind w:firstLine="0"/>
        <w:jc w:val="center"/>
        <w:rPr>
          <w:caps w:val="0"/>
          <w:sz w:val="22"/>
          <w:szCs w:val="22"/>
        </w:rPr>
      </w:pPr>
      <w:r w:rsidRPr="00DE4284">
        <w:rPr>
          <w:b w:val="0"/>
          <w:caps w:val="0"/>
          <w:sz w:val="22"/>
          <w:szCs w:val="22"/>
        </w:rPr>
        <w:t xml:space="preserve">на </w:t>
      </w:r>
      <w:r w:rsidR="00983C19" w:rsidRPr="00DE4284">
        <w:rPr>
          <w:caps w:val="0"/>
          <w:sz w:val="22"/>
          <w:szCs w:val="22"/>
        </w:rPr>
        <w:t>Министерство на регионалното развитие и благоустройството</w:t>
      </w:r>
    </w:p>
    <w:p w:rsidR="00230093" w:rsidRPr="00DE4284" w:rsidRDefault="00230093" w:rsidP="00230093">
      <w:pPr>
        <w:pStyle w:val="Heading1"/>
        <w:ind w:firstLine="0"/>
        <w:jc w:val="center"/>
        <w:rPr>
          <w:caps w:val="0"/>
          <w:sz w:val="22"/>
          <w:szCs w:val="22"/>
        </w:rPr>
      </w:pPr>
      <w:r w:rsidRPr="00DE4284">
        <w:rPr>
          <w:caps w:val="0"/>
          <w:sz w:val="22"/>
          <w:szCs w:val="22"/>
        </w:rPr>
        <w:t>(наименование на бюджетната организация)</w:t>
      </w:r>
    </w:p>
    <w:p w:rsidR="00230093" w:rsidRPr="00DE4284" w:rsidRDefault="00230093" w:rsidP="00785182">
      <w:pPr>
        <w:ind w:firstLine="708"/>
        <w:jc w:val="both"/>
        <w:rPr>
          <w:rFonts w:ascii="Times New Roman" w:hAnsi="Times New Roman" w:cs="Times New Roman"/>
        </w:rPr>
      </w:pPr>
    </w:p>
    <w:p w:rsidR="00983C19" w:rsidRPr="00DE4284" w:rsidRDefault="00983C19" w:rsidP="00DE4284">
      <w:pPr>
        <w:spacing w:before="120" w:after="120"/>
        <w:ind w:left="-142" w:firstLine="709"/>
        <w:jc w:val="both"/>
        <w:rPr>
          <w:rFonts w:ascii="Times New Roman" w:hAnsi="Times New Roman" w:cs="Times New Roman"/>
          <w:b/>
          <w:i/>
          <w:color w:val="0000CC"/>
        </w:rPr>
      </w:pPr>
      <w:r w:rsidRPr="00DE4284">
        <w:rPr>
          <w:rFonts w:ascii="Times New Roman" w:hAnsi="Times New Roman" w:cs="Times New Roman"/>
          <w:b/>
          <w:i/>
          <w:color w:val="0000CC"/>
          <w:lang w:val="ru-RU"/>
        </w:rPr>
        <w:t>2100.01.00  ПОЛИТИКА ЗА ИНТЕГРИРАНО РАЗВИТИЕ НА РЕГИОНИТЕ ЗА ПОСТИГАНЕ НА РАСТЕЖ И ПОДОБРЯВАНЕ КАЧЕСТВОТО НА ЖИЗНЕНАТА СРЕДА</w:t>
      </w:r>
    </w:p>
    <w:p w:rsidR="00766A55" w:rsidRPr="00862553" w:rsidRDefault="00091C5B" w:rsidP="00DE4284">
      <w:pPr>
        <w:spacing w:before="120" w:after="120"/>
        <w:ind w:left="-142" w:firstLine="709"/>
        <w:jc w:val="both"/>
        <w:rPr>
          <w:rFonts w:ascii="Times New Roman" w:hAnsi="Times New Roman" w:cs="Times New Roman"/>
          <w:b/>
          <w:i/>
          <w:color w:val="0000CC"/>
        </w:rPr>
      </w:pPr>
      <w:r w:rsidRPr="00862553">
        <w:rPr>
          <w:rFonts w:ascii="Times New Roman" w:hAnsi="Times New Roman" w:cs="Times New Roman"/>
          <w:b/>
          <w:i/>
          <w:color w:val="0000CC"/>
        </w:rPr>
        <w:t>Кратко описание на обхвата на област</w:t>
      </w:r>
      <w:r w:rsidR="00766A55" w:rsidRPr="00862553">
        <w:rPr>
          <w:rFonts w:ascii="Times New Roman" w:hAnsi="Times New Roman" w:cs="Times New Roman"/>
          <w:b/>
          <w:i/>
          <w:color w:val="0000CC"/>
        </w:rPr>
        <w:t>та на политиката</w:t>
      </w:r>
      <w:r w:rsidRPr="00862553">
        <w:rPr>
          <w:rFonts w:ascii="Times New Roman" w:hAnsi="Times New Roman" w:cs="Times New Roman"/>
          <w:b/>
          <w:i/>
          <w:color w:val="0000CC"/>
        </w:rPr>
        <w:t>, за ко</w:t>
      </w:r>
      <w:r w:rsidR="00766A55" w:rsidRPr="00862553">
        <w:rPr>
          <w:rFonts w:ascii="Times New Roman" w:hAnsi="Times New Roman" w:cs="Times New Roman"/>
          <w:b/>
          <w:i/>
          <w:color w:val="0000CC"/>
        </w:rPr>
        <w:t>ято</w:t>
      </w:r>
      <w:r w:rsidRPr="00862553">
        <w:rPr>
          <w:rFonts w:ascii="Times New Roman" w:hAnsi="Times New Roman" w:cs="Times New Roman"/>
          <w:b/>
          <w:i/>
          <w:color w:val="0000CC"/>
        </w:rPr>
        <w:t xml:space="preserve"> ПРБ отговаря</w:t>
      </w:r>
    </w:p>
    <w:p w:rsidR="00983C19" w:rsidRPr="00BC41B0" w:rsidRDefault="00983C19" w:rsidP="00810B4B">
      <w:pPr>
        <w:spacing w:after="0" w:line="240" w:lineRule="auto"/>
        <w:ind w:firstLine="567"/>
        <w:jc w:val="both"/>
        <w:rPr>
          <w:rFonts w:ascii="Times New Roman" w:eastAsia="Calibri" w:hAnsi="Times New Roman" w:cs="Times New Roman"/>
        </w:rPr>
      </w:pPr>
      <w:r w:rsidRPr="00BC41B0">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w:t>
      </w:r>
      <w:r w:rsidRPr="00BC41B0">
        <w:rPr>
          <w:rFonts w:ascii="Times New Roman" w:eastAsia="Calibri" w:hAnsi="Times New Roman" w:cs="Times New Roman"/>
        </w:rPr>
        <w:t xml:space="preserve">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r w:rsidRPr="00BC41B0">
        <w:rPr>
          <w:rFonts w:ascii="Times New Roman" w:eastAsia="Times New Roman" w:hAnsi="Times New Roman" w:cs="Times New Roman"/>
          <w:lang w:eastAsia="bg-BG"/>
        </w:rPr>
        <w:t xml:space="preserve"> Ключовите индикатори за изпълнение на политиката са в съответствие с целите на Националната програма за развитие: БЪЛГАРИЯ 2030 и в този смисъл не е необходимо да бъдат актуализирани.</w:t>
      </w:r>
    </w:p>
    <w:p w:rsidR="00983C19" w:rsidRPr="00BC41B0" w:rsidRDefault="00983C19" w:rsidP="00810B4B">
      <w:pPr>
        <w:spacing w:after="0" w:line="240" w:lineRule="auto"/>
        <w:ind w:firstLine="567"/>
        <w:jc w:val="both"/>
        <w:rPr>
          <w:rFonts w:ascii="Times New Roman" w:eastAsia="Calibri" w:hAnsi="Times New Roman" w:cs="Times New Roman"/>
        </w:rPr>
      </w:pPr>
      <w:r w:rsidRPr="00BC41B0">
        <w:rPr>
          <w:rFonts w:ascii="Times New Roman" w:eastAsia="Calibri" w:hAnsi="Times New Roman" w:cs="Times New Roman"/>
        </w:rPr>
        <w:t>Желаният резултат ще се постигне чрез интегрирани действия в различни области на развитие, насочени в един фокус – сближаване.</w:t>
      </w:r>
    </w:p>
    <w:p w:rsidR="00983C19" w:rsidRPr="00BC41B0" w:rsidRDefault="00983C19" w:rsidP="00810B4B">
      <w:pPr>
        <w:spacing w:after="0" w:line="240" w:lineRule="auto"/>
        <w:ind w:firstLine="567"/>
        <w:jc w:val="both"/>
        <w:rPr>
          <w:rFonts w:ascii="Times New Roman" w:eastAsia="Calibri" w:hAnsi="Times New Roman" w:cs="Times New Roman"/>
        </w:rPr>
      </w:pPr>
      <w:r w:rsidRPr="00BC41B0">
        <w:rPr>
          <w:rFonts w:ascii="Times New Roman" w:eastAsia="Calibri" w:hAnsi="Times New Roman" w:cs="Times New Roman"/>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983C19" w:rsidRPr="00BC41B0" w:rsidRDefault="00983C19" w:rsidP="00810B4B">
      <w:pPr>
        <w:spacing w:after="0" w:line="240" w:lineRule="auto"/>
        <w:ind w:firstLine="567"/>
        <w:jc w:val="both"/>
        <w:rPr>
          <w:rFonts w:ascii="Times New Roman" w:eastAsia="Calibri" w:hAnsi="Times New Roman" w:cs="Times New Roman"/>
          <w:lang w:val="en-US"/>
        </w:rPr>
      </w:pPr>
      <w:r w:rsidRPr="00BC41B0">
        <w:rPr>
          <w:rFonts w:ascii="Times New Roman" w:eastAsia="Calibri" w:hAnsi="Times New Roman" w:cs="Times New Roman"/>
        </w:rPr>
        <w:t xml:space="preserve">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за периода 2017-2021,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DE4284" w:rsidRPr="00BC41B0" w:rsidRDefault="00983C19" w:rsidP="00810B4B">
      <w:pPr>
        <w:spacing w:after="0" w:line="240" w:lineRule="auto"/>
        <w:ind w:firstLine="567"/>
        <w:jc w:val="both"/>
        <w:rPr>
          <w:rFonts w:ascii="Times New Roman" w:eastAsia="Calibri" w:hAnsi="Times New Roman" w:cs="Times New Roman"/>
          <w:b/>
        </w:rPr>
      </w:pPr>
      <w:r w:rsidRPr="00BC41B0">
        <w:rPr>
          <w:rFonts w:ascii="Times New Roman" w:eastAsia="Calibri" w:hAnsi="Times New Roman" w:cs="Times New Roman"/>
        </w:rPr>
        <w:t xml:space="preserve">Министърът на регионалното развитие и благоустройството, </w:t>
      </w:r>
      <w:r w:rsidR="00DE4284" w:rsidRPr="00BC41B0">
        <w:rPr>
          <w:rFonts w:ascii="Times New Roman" w:eastAsia="Calibri" w:hAnsi="Times New Roman" w:cs="Times New Roman"/>
        </w:rPr>
        <w:t xml:space="preserve">изпълнява политиката за интегрирано развитие на регионите за постигане на растеж и подобряване качеството на жизнената среда, </w:t>
      </w:r>
      <w:r w:rsidRPr="00BC41B0">
        <w:rPr>
          <w:rFonts w:ascii="Times New Roman" w:eastAsia="Calibri" w:hAnsi="Times New Roman" w:cs="Times New Roman"/>
        </w:rPr>
        <w:t>чрез</w:t>
      </w:r>
      <w:r w:rsidR="00DE4284" w:rsidRPr="00BC41B0">
        <w:rPr>
          <w:rFonts w:ascii="Times New Roman" w:eastAsia="Calibri" w:hAnsi="Times New Roman" w:cs="Times New Roman"/>
        </w:rPr>
        <w:t xml:space="preserve"> следните дирекции/главни дирекции:</w:t>
      </w:r>
      <w:r w:rsidRPr="00BC41B0">
        <w:rPr>
          <w:rFonts w:ascii="Times New Roman" w:eastAsia="Calibri" w:hAnsi="Times New Roman" w:cs="Times New Roman"/>
          <w:b/>
        </w:rPr>
        <w:t xml:space="preserve"> </w:t>
      </w:r>
    </w:p>
    <w:p w:rsidR="00983C19" w:rsidRPr="00BC41B0" w:rsidRDefault="00DE4284" w:rsidP="00810B4B">
      <w:pPr>
        <w:spacing w:after="0" w:line="240" w:lineRule="auto"/>
        <w:ind w:firstLine="567"/>
        <w:jc w:val="both"/>
        <w:rPr>
          <w:rFonts w:ascii="Times New Roman" w:eastAsia="Calibri" w:hAnsi="Times New Roman" w:cs="Times New Roman"/>
        </w:rPr>
      </w:pPr>
      <w:r w:rsidRPr="00BC41B0">
        <w:rPr>
          <w:rFonts w:ascii="Times New Roman" w:eastAsia="Calibri" w:hAnsi="Times New Roman" w:cs="Times New Roman"/>
          <w:b/>
          <w:i/>
        </w:rPr>
        <w:t>Г</w:t>
      </w:r>
      <w:r w:rsidR="00983C19" w:rsidRPr="00BC41B0">
        <w:rPr>
          <w:rFonts w:ascii="Times New Roman" w:eastAsia="Calibri" w:hAnsi="Times New Roman" w:cs="Times New Roman"/>
          <w:b/>
          <w:i/>
        </w:rPr>
        <w:t>лавна дирекция „Стратегическо планиране и програми за регионално развитие“</w:t>
      </w:r>
      <w:r w:rsidR="00983C19" w:rsidRPr="00BC41B0">
        <w:rPr>
          <w:rFonts w:ascii="Times New Roman" w:eastAsia="Calibri" w:hAnsi="Times New Roman" w:cs="Times New Roman"/>
        </w:rPr>
        <w:t xml:space="preserve"> </w:t>
      </w:r>
      <w:r w:rsidR="00862553" w:rsidRPr="00BC41B0">
        <w:rPr>
          <w:rFonts w:ascii="Times New Roman" w:eastAsia="Calibri" w:hAnsi="Times New Roman" w:cs="Times New Roman"/>
        </w:rPr>
        <w:t>се стреми</w:t>
      </w:r>
      <w:r w:rsidR="00983C19" w:rsidRPr="00BC41B0">
        <w:rPr>
          <w:rFonts w:ascii="Times New Roman" w:eastAsia="Calibri" w:hAnsi="Times New Roman" w:cs="Times New Roman"/>
        </w:rPr>
        <w:t xml:space="preserve">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983C19" w:rsidRPr="00BC41B0">
        <w:rPr>
          <w:rFonts w:ascii="Times New Roman" w:eastAsia="Calibri" w:hAnsi="Times New Roman" w:cs="Times New Roman"/>
          <w:lang w:val="en-US"/>
        </w:rPr>
        <w:t>,</w:t>
      </w:r>
      <w:r w:rsidR="00983C19" w:rsidRPr="00BC41B0">
        <w:rPr>
          <w:rFonts w:ascii="Times New Roman" w:eastAsia="Calibri" w:hAnsi="Times New Roman" w:cs="Times New Roman"/>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983C19" w:rsidRPr="00BC41B0">
        <w:rPr>
          <w:rFonts w:ascii="Times New Roman" w:eastAsia="Calibri" w:hAnsi="Times New Roman" w:cs="Times New Roman"/>
          <w:lang w:val="en-US"/>
        </w:rPr>
        <w:t xml:space="preserve"> </w:t>
      </w:r>
      <w:r w:rsidR="00983C19" w:rsidRPr="00BC41B0">
        <w:rPr>
          <w:rFonts w:ascii="Times New Roman" w:eastAsia="Calibri" w:hAnsi="Times New Roman" w:cs="Times New Roman"/>
        </w:rPr>
        <w:t xml:space="preserve">Развитието на политиката обхваща и: </w:t>
      </w:r>
    </w:p>
    <w:p w:rsidR="00983C19" w:rsidRPr="00BC41B0" w:rsidRDefault="00983C19" w:rsidP="00810B4B">
      <w:pPr>
        <w:numPr>
          <w:ilvl w:val="0"/>
          <w:numId w:val="4"/>
        </w:numPr>
        <w:spacing w:after="0" w:line="240" w:lineRule="auto"/>
        <w:ind w:left="0" w:firstLine="567"/>
        <w:jc w:val="both"/>
        <w:rPr>
          <w:rFonts w:ascii="Times New Roman" w:eastAsia="Calibri" w:hAnsi="Times New Roman" w:cs="Times New Roman"/>
          <w:lang w:val="en-US"/>
        </w:rPr>
      </w:pPr>
      <w:r w:rsidRPr="00BC41B0">
        <w:rPr>
          <w:rFonts w:ascii="Times New Roman" w:eastAsia="Calibri" w:hAnsi="Times New Roman" w:cs="Times New Roman"/>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w:t>
      </w:r>
    </w:p>
    <w:p w:rsidR="00983C19" w:rsidRPr="00BC41B0" w:rsidRDefault="00983C19" w:rsidP="00810B4B">
      <w:pPr>
        <w:numPr>
          <w:ilvl w:val="0"/>
          <w:numId w:val="4"/>
        </w:numPr>
        <w:spacing w:after="0" w:line="240" w:lineRule="auto"/>
        <w:ind w:left="0" w:firstLine="567"/>
        <w:jc w:val="both"/>
        <w:rPr>
          <w:rFonts w:ascii="Times New Roman" w:eastAsia="Calibri" w:hAnsi="Times New Roman" w:cs="Times New Roman"/>
        </w:rPr>
      </w:pPr>
      <w:r w:rsidRPr="00BC41B0">
        <w:rPr>
          <w:rFonts w:ascii="Times New Roman" w:eastAsia="Calibri" w:hAnsi="Times New Roman" w:cs="Times New Roman"/>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983C19" w:rsidRPr="00BC41B0" w:rsidRDefault="00983C19" w:rsidP="00810B4B">
      <w:pPr>
        <w:numPr>
          <w:ilvl w:val="0"/>
          <w:numId w:val="4"/>
        </w:numPr>
        <w:spacing w:after="0" w:line="240" w:lineRule="auto"/>
        <w:ind w:left="0" w:firstLine="567"/>
        <w:jc w:val="both"/>
        <w:rPr>
          <w:rFonts w:ascii="Times New Roman" w:eastAsia="Calibri" w:hAnsi="Times New Roman" w:cs="Times New Roman"/>
        </w:rPr>
      </w:pPr>
      <w:r w:rsidRPr="00BC41B0">
        <w:rPr>
          <w:rFonts w:ascii="Times New Roman" w:eastAsia="Calibri" w:hAnsi="Times New Roman" w:cs="Times New Roman"/>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rsidR="00DE4284" w:rsidRPr="00BC41B0" w:rsidRDefault="00DE4284" w:rsidP="00810B4B">
      <w:pPr>
        <w:pStyle w:val="ListParagraph"/>
        <w:tabs>
          <w:tab w:val="left" w:pos="851"/>
        </w:tabs>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b/>
          <w:i/>
          <w:lang w:eastAsia="bg-BG"/>
        </w:rPr>
        <w:t>Дирекция „Управление на териториалното сътрудничество“</w:t>
      </w:r>
      <w:r w:rsidRPr="00BC41B0">
        <w:rPr>
          <w:rFonts w:ascii="Times New Roman" w:eastAsia="Times New Roman" w:hAnsi="Times New Roman" w:cs="Times New Roman"/>
          <w:lang w:eastAsia="bg-BG"/>
        </w:rPr>
        <w:t xml:space="preserve"> се стреми към:</w:t>
      </w:r>
    </w:p>
    <w:p w:rsidR="00DE4284" w:rsidRPr="00BC41B0" w:rsidRDefault="00DE4284" w:rsidP="00810B4B">
      <w:pPr>
        <w:pStyle w:val="ListParagraph"/>
        <w:numPr>
          <w:ilvl w:val="0"/>
          <w:numId w:val="6"/>
        </w:numPr>
        <w:spacing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Устойчиво развитие на трансграничните региони в подкрепа на усилията за разширено европейско сътрудничество и интеграция;</w:t>
      </w:r>
    </w:p>
    <w:p w:rsidR="00DE4284" w:rsidRPr="00BC41B0" w:rsidRDefault="00DE4284" w:rsidP="00810B4B">
      <w:pPr>
        <w:pStyle w:val="ListParagraph"/>
        <w:numPr>
          <w:ilvl w:val="0"/>
          <w:numId w:val="6"/>
        </w:numPr>
        <w:spacing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rsidR="00DE4284" w:rsidRPr="00BC41B0" w:rsidRDefault="00DE4284" w:rsidP="00810B4B">
      <w:pPr>
        <w:pStyle w:val="ListParagraph"/>
        <w:numPr>
          <w:ilvl w:val="0"/>
          <w:numId w:val="6"/>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lastRenderedPageBreak/>
        <w:t>Укрепване на капацитета на структурите по програмите за европейско териториално сътрудничество, в които Република България участва.</w:t>
      </w:r>
    </w:p>
    <w:p w:rsidR="00DE4284" w:rsidRPr="00BC41B0" w:rsidRDefault="00DE4284" w:rsidP="00810B4B">
      <w:pPr>
        <w:pStyle w:val="ListParagraph"/>
        <w:tabs>
          <w:tab w:val="left" w:pos="851"/>
        </w:tabs>
        <w:spacing w:after="0" w:line="240" w:lineRule="auto"/>
        <w:ind w:left="0" w:firstLine="567"/>
        <w:jc w:val="both"/>
        <w:rPr>
          <w:rFonts w:ascii="Times New Roman" w:hAnsi="Times New Roman" w:cs="Times New Roman"/>
        </w:rPr>
      </w:pPr>
      <w:r w:rsidRPr="00BC41B0">
        <w:rPr>
          <w:rFonts w:ascii="Times New Roman" w:hAnsi="Times New Roman" w:cs="Times New Roman"/>
          <w:b/>
          <w:i/>
        </w:rPr>
        <w:t>Дирекция „Жилищна политика“</w:t>
      </w:r>
      <w:r w:rsidRPr="00BC41B0">
        <w:rPr>
          <w:rFonts w:ascii="Times New Roman" w:hAnsi="Times New Roman" w:cs="Times New Roman"/>
        </w:rPr>
        <w:t xml:space="preserve"> </w:t>
      </w:r>
      <w:r w:rsidR="00862553" w:rsidRPr="00BC41B0">
        <w:rPr>
          <w:rFonts w:ascii="Times New Roman" w:hAnsi="Times New Roman" w:cs="Times New Roman"/>
        </w:rPr>
        <w:t xml:space="preserve">- </w:t>
      </w:r>
      <w:r w:rsidR="00862553" w:rsidRPr="00BC41B0">
        <w:rPr>
          <w:rFonts w:ascii="Times New Roman" w:eastAsia="Calibri" w:hAnsi="Times New Roman" w:cs="Times New Roman"/>
        </w:rPr>
        <w:t>п</w:t>
      </w:r>
      <w:r w:rsidRPr="00BC41B0">
        <w:rPr>
          <w:rFonts w:ascii="Times New Roman" w:eastAsia="Calibri" w:hAnsi="Times New Roman" w:cs="Times New Roman"/>
        </w:rPr>
        <w:t>о отношение на дейността, свързана с</w:t>
      </w:r>
      <w:r w:rsidRPr="00BC41B0">
        <w:rPr>
          <w:rFonts w:ascii="Times New Roman" w:eastAsia="Calibri" w:hAnsi="Times New Roman" w:cs="Times New Roman"/>
          <w:b/>
          <w:i/>
        </w:rPr>
        <w:t xml:space="preserve"> </w:t>
      </w:r>
      <w:r w:rsidRPr="00BC41B0">
        <w:rPr>
          <w:rFonts w:ascii="Times New Roman" w:eastAsia="Calibri" w:hAnsi="Times New Roman" w:cs="Times New Roman"/>
          <w:i/>
        </w:rPr>
        <w:t>обновяване на жилищния сграден фонд,</w:t>
      </w:r>
      <w:r w:rsidRPr="00BC41B0">
        <w:rPr>
          <w:rFonts w:ascii="Times New Roman" w:eastAsia="Calibri" w:hAnsi="Times New Roman" w:cs="Times New Roman"/>
        </w:rPr>
        <w:t xml:space="preserve"> с</w:t>
      </w:r>
      <w:r w:rsidRPr="00BC41B0">
        <w:rPr>
          <w:rFonts w:ascii="Times New Roman" w:eastAsia="Times New Roman" w:hAnsi="Times New Roman" w:cs="Times New Roman"/>
          <w:lang w:eastAsia="bg-BG"/>
        </w:rPr>
        <w:t xml:space="preserve">тремежът е към </w:t>
      </w:r>
      <w:r w:rsidRPr="00BC41B0">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rsidR="00DE4284" w:rsidRPr="00BC41B0" w:rsidRDefault="00DE4284" w:rsidP="00810B4B">
      <w:pPr>
        <w:pStyle w:val="ListParagraph"/>
        <w:tabs>
          <w:tab w:val="left" w:pos="851"/>
        </w:tabs>
        <w:spacing w:after="0" w:line="240" w:lineRule="auto"/>
        <w:ind w:left="0" w:firstLine="567"/>
        <w:jc w:val="both"/>
        <w:rPr>
          <w:rFonts w:ascii="Times New Roman" w:hAnsi="Times New Roman" w:cs="Times New Roman"/>
          <w:b/>
          <w:i/>
        </w:rPr>
      </w:pPr>
      <w:r w:rsidRPr="00BC41B0">
        <w:rPr>
          <w:rFonts w:ascii="Times New Roman" w:hAnsi="Times New Roman" w:cs="Times New Roman"/>
          <w:b/>
          <w:i/>
        </w:rPr>
        <w:t>Дирекция „Устройство на територията и административно – териториално устройство“</w:t>
      </w:r>
    </w:p>
    <w:p w:rsidR="00DE4284" w:rsidRPr="00BC41B0" w:rsidRDefault="00DE4284" w:rsidP="00810B4B">
      <w:pPr>
        <w:spacing w:after="0" w:line="240" w:lineRule="auto"/>
        <w:ind w:firstLine="567"/>
        <w:jc w:val="both"/>
        <w:rPr>
          <w:rFonts w:ascii="Times New Roman" w:hAnsi="Times New Roman" w:cs="Times New Roman"/>
        </w:rPr>
      </w:pPr>
      <w:r w:rsidRPr="00BC41B0">
        <w:rPr>
          <w:rFonts w:ascii="Times New Roman" w:hAnsi="Times New Roman" w:cs="Times New Roman"/>
        </w:rPr>
        <w:t>Балансирано административно-териториално устройство, развитие и подпомагане на местното самоуправление в България, децентрализация на държавното управление, включително финансова децентрализация, насърчаване на доброто демократично управление на местно ниво в контекста на европейските принципи и стандарти, координиране на дейността по участието на българските делегации в Конгреса на местните и регионалните власти на Съвета на Европа и Комитета на регионите в Европейския съюз, разработване и изпълнение на проекти, съфинансирани от фондовете на Европейския съюз.</w:t>
      </w:r>
    </w:p>
    <w:p w:rsidR="00DE4284" w:rsidRPr="00BC41B0" w:rsidRDefault="00DE4284" w:rsidP="00810B4B">
      <w:pPr>
        <w:pStyle w:val="ListParagraph"/>
        <w:tabs>
          <w:tab w:val="left" w:pos="851"/>
        </w:tabs>
        <w:spacing w:after="0" w:line="240" w:lineRule="auto"/>
        <w:ind w:left="0" w:firstLine="567"/>
        <w:jc w:val="both"/>
        <w:rPr>
          <w:rFonts w:ascii="Times New Roman" w:hAnsi="Times New Roman" w:cs="Times New Roman"/>
          <w:b/>
          <w:i/>
        </w:rPr>
      </w:pPr>
      <w:r w:rsidRPr="00BC41B0">
        <w:rPr>
          <w:rFonts w:ascii="Times New Roman" w:hAnsi="Times New Roman" w:cs="Times New Roman"/>
          <w:b/>
          <w:i/>
        </w:rPr>
        <w:t>Дирекция „Държавна собственост и търговски дружества“</w:t>
      </w:r>
    </w:p>
    <w:p w:rsidR="00DE4284" w:rsidRPr="00BC41B0" w:rsidRDefault="00DE4284" w:rsidP="00810B4B">
      <w:pPr>
        <w:spacing w:after="0" w:line="240" w:lineRule="auto"/>
        <w:ind w:firstLine="567"/>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Управление държавната собственост и търговските дружества от системата на МРРБ.</w:t>
      </w:r>
    </w:p>
    <w:p w:rsidR="00AE0B4B" w:rsidRPr="00BC41B0" w:rsidRDefault="00766A55" w:rsidP="00810B4B">
      <w:pPr>
        <w:pStyle w:val="ListParagraph"/>
        <w:numPr>
          <w:ilvl w:val="0"/>
          <w:numId w:val="3"/>
        </w:numPr>
        <w:spacing w:before="120" w:after="120" w:line="240" w:lineRule="auto"/>
        <w:jc w:val="both"/>
        <w:rPr>
          <w:rFonts w:ascii="Times New Roman" w:hAnsi="Times New Roman" w:cs="Times New Roman"/>
          <w:b/>
          <w:i/>
          <w:color w:val="0000CC"/>
        </w:rPr>
      </w:pPr>
      <w:r w:rsidRPr="00BC41B0">
        <w:rPr>
          <w:rFonts w:ascii="Times New Roman" w:hAnsi="Times New Roman" w:cs="Times New Roman"/>
          <w:b/>
          <w:i/>
          <w:color w:val="0000CC"/>
        </w:rPr>
        <w:t>Отговорност</w:t>
      </w:r>
      <w:r w:rsidR="00D545AA" w:rsidRPr="00BC41B0">
        <w:rPr>
          <w:rFonts w:ascii="Times New Roman" w:hAnsi="Times New Roman" w:cs="Times New Roman"/>
          <w:b/>
          <w:i/>
          <w:color w:val="0000CC"/>
        </w:rPr>
        <w:t xml:space="preserve"> </w:t>
      </w:r>
      <w:r w:rsidR="00AE0B4B" w:rsidRPr="00BC41B0">
        <w:rPr>
          <w:rFonts w:ascii="Times New Roman" w:hAnsi="Times New Roman" w:cs="Times New Roman"/>
          <w:b/>
          <w:i/>
          <w:color w:val="0000CC"/>
        </w:rPr>
        <w:t>за</w:t>
      </w:r>
      <w:r w:rsidR="00091C5B" w:rsidRPr="00BC41B0">
        <w:rPr>
          <w:rFonts w:ascii="Times New Roman" w:hAnsi="Times New Roman" w:cs="Times New Roman"/>
          <w:b/>
          <w:i/>
          <w:color w:val="0000CC"/>
        </w:rPr>
        <w:t xml:space="preserve"> разпределението на публичните разходи</w:t>
      </w:r>
      <w:r w:rsidR="00AE0B4B" w:rsidRPr="00BC41B0">
        <w:rPr>
          <w:rFonts w:ascii="Times New Roman" w:hAnsi="Times New Roman" w:cs="Times New Roman"/>
          <w:b/>
          <w:i/>
          <w:color w:val="0000CC"/>
        </w:rPr>
        <w:t xml:space="preserve"> за политиката</w:t>
      </w:r>
    </w:p>
    <w:p w:rsidR="00223EEC" w:rsidRPr="00DE4284" w:rsidRDefault="00862553" w:rsidP="00810B4B">
      <w:pPr>
        <w:pStyle w:val="ListParagraph"/>
        <w:numPr>
          <w:ilvl w:val="1"/>
          <w:numId w:val="3"/>
        </w:numPr>
        <w:spacing w:before="120" w:after="120" w:line="240" w:lineRule="auto"/>
        <w:ind w:left="0" w:firstLine="567"/>
        <w:jc w:val="both"/>
        <w:rPr>
          <w:rFonts w:ascii="Times New Roman" w:hAnsi="Times New Roman" w:cs="Times New Roman"/>
          <w:i/>
        </w:rPr>
      </w:pPr>
      <w:r>
        <w:rPr>
          <w:rFonts w:ascii="Times New Roman" w:hAnsi="Times New Roman" w:cs="Times New Roman"/>
          <w:i/>
        </w:rPr>
        <w:t xml:space="preserve"> </w:t>
      </w:r>
      <w:r w:rsidR="0032516B" w:rsidRPr="00DE4284">
        <w:rPr>
          <w:rFonts w:ascii="Times New Roman" w:hAnsi="Times New Roman" w:cs="Times New Roman"/>
          <w:i/>
        </w:rPr>
        <w:t>Консолидирани разходи по политиката, които ПРБ разходва пряко чрез бюджета и отговаря за разпределението/разчитането на разходи по д</w:t>
      </w:r>
      <w:r w:rsidR="00223EEC" w:rsidRPr="00DE4284">
        <w:rPr>
          <w:rFonts w:ascii="Times New Roman" w:hAnsi="Times New Roman" w:cs="Times New Roman"/>
          <w:i/>
        </w:rPr>
        <w:t>руги бюджети и ССЕС;</w:t>
      </w:r>
    </w:p>
    <w:tbl>
      <w:tblPr>
        <w:tblW w:w="9067" w:type="dxa"/>
        <w:tblLook w:val="04A0" w:firstRow="1" w:lastRow="0" w:firstColumn="1" w:lastColumn="0" w:noHBand="0" w:noVBand="1"/>
      </w:tblPr>
      <w:tblGrid>
        <w:gridCol w:w="2972"/>
        <w:gridCol w:w="1580"/>
        <w:gridCol w:w="1420"/>
        <w:gridCol w:w="1600"/>
        <w:gridCol w:w="1495"/>
      </w:tblGrid>
      <w:tr w:rsidR="00983C19" w:rsidRPr="00862553" w:rsidTr="00C05C30">
        <w:trPr>
          <w:trHeight w:val="480"/>
        </w:trPr>
        <w:tc>
          <w:tcPr>
            <w:tcW w:w="2972"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983C19" w:rsidRPr="00862553" w:rsidRDefault="00983C19" w:rsidP="005469C0">
            <w:pPr>
              <w:spacing w:after="0" w:line="240" w:lineRule="auto"/>
              <w:jc w:val="center"/>
              <w:rPr>
                <w:rFonts w:ascii="Times New Roman" w:eastAsia="Times New Roman" w:hAnsi="Times New Roman" w:cs="Times New Roman"/>
                <w:b/>
                <w:bCs/>
                <w:i/>
                <w:iCs/>
                <w:color w:val="000000"/>
                <w:sz w:val="16"/>
                <w:szCs w:val="16"/>
                <w:lang w:val="en-US"/>
              </w:rPr>
            </w:pPr>
            <w:r w:rsidRPr="00862553">
              <w:rPr>
                <w:rFonts w:ascii="Times New Roman" w:eastAsia="Times New Roman" w:hAnsi="Times New Roman" w:cs="Times New Roman"/>
                <w:b/>
                <w:bCs/>
                <w:i/>
                <w:iCs/>
                <w:color w:val="000000"/>
                <w:sz w:val="16"/>
                <w:szCs w:val="16"/>
                <w:lang w:val="en-US"/>
              </w:rPr>
              <w:t>Област на политика (в хил. лв.)</w:t>
            </w:r>
          </w:p>
        </w:tc>
        <w:tc>
          <w:tcPr>
            <w:tcW w:w="1580" w:type="dxa"/>
            <w:tcBorders>
              <w:top w:val="single" w:sz="4" w:space="0" w:color="auto"/>
              <w:left w:val="nil"/>
              <w:bottom w:val="single" w:sz="4" w:space="0" w:color="auto"/>
              <w:right w:val="single" w:sz="4" w:space="0" w:color="auto"/>
            </w:tcBorders>
            <w:shd w:val="clear" w:color="000000" w:fill="FCD5B4"/>
            <w:vAlign w:val="center"/>
            <w:hideMark/>
          </w:tcPr>
          <w:p w:rsidR="00983C19" w:rsidRPr="00862553" w:rsidRDefault="00983C19" w:rsidP="005469C0">
            <w:pPr>
              <w:spacing w:after="0" w:line="240" w:lineRule="auto"/>
              <w:jc w:val="center"/>
              <w:rPr>
                <w:rFonts w:ascii="Times New Roman" w:eastAsia="Times New Roman" w:hAnsi="Times New Roman" w:cs="Times New Roman"/>
                <w:b/>
                <w:bCs/>
                <w:i/>
                <w:iCs/>
                <w:color w:val="000000"/>
                <w:sz w:val="16"/>
                <w:szCs w:val="16"/>
                <w:lang w:val="en-US"/>
              </w:rPr>
            </w:pPr>
            <w:r w:rsidRPr="00862553">
              <w:rPr>
                <w:rFonts w:ascii="Times New Roman" w:eastAsia="Times New Roman" w:hAnsi="Times New Roman" w:cs="Times New Roman"/>
                <w:b/>
                <w:bCs/>
                <w:i/>
                <w:iCs/>
                <w:color w:val="000000"/>
                <w:sz w:val="16"/>
                <w:szCs w:val="16"/>
                <w:lang w:val="en-US"/>
              </w:rPr>
              <w:t> </w:t>
            </w:r>
          </w:p>
        </w:tc>
        <w:tc>
          <w:tcPr>
            <w:tcW w:w="1420" w:type="dxa"/>
            <w:tcBorders>
              <w:top w:val="single" w:sz="4" w:space="0" w:color="auto"/>
              <w:left w:val="nil"/>
              <w:bottom w:val="single" w:sz="4" w:space="0" w:color="auto"/>
              <w:right w:val="single" w:sz="4" w:space="0" w:color="auto"/>
            </w:tcBorders>
            <w:shd w:val="clear" w:color="000000" w:fill="FCD5B4"/>
            <w:vAlign w:val="center"/>
            <w:hideMark/>
          </w:tcPr>
          <w:p w:rsidR="00983C19" w:rsidRPr="00862553" w:rsidRDefault="00983C19" w:rsidP="005469C0">
            <w:pPr>
              <w:spacing w:after="0" w:line="240" w:lineRule="auto"/>
              <w:jc w:val="center"/>
              <w:rPr>
                <w:rFonts w:ascii="Times New Roman" w:eastAsia="Times New Roman" w:hAnsi="Times New Roman" w:cs="Times New Roman"/>
                <w:b/>
                <w:bCs/>
                <w:i/>
                <w:iCs/>
                <w:color w:val="000000"/>
                <w:sz w:val="16"/>
                <w:szCs w:val="16"/>
                <w:lang w:val="en-US"/>
              </w:rPr>
            </w:pPr>
            <w:r w:rsidRPr="00862553">
              <w:rPr>
                <w:rFonts w:ascii="Times New Roman" w:eastAsia="Times New Roman" w:hAnsi="Times New Roman" w:cs="Times New Roman"/>
                <w:b/>
                <w:bCs/>
                <w:i/>
                <w:iCs/>
                <w:color w:val="000000"/>
                <w:sz w:val="16"/>
                <w:szCs w:val="16"/>
                <w:lang w:val="en-US"/>
              </w:rPr>
              <w:t>Общо разходи</w:t>
            </w:r>
          </w:p>
        </w:tc>
        <w:tc>
          <w:tcPr>
            <w:tcW w:w="1600" w:type="dxa"/>
            <w:tcBorders>
              <w:top w:val="single" w:sz="4" w:space="0" w:color="auto"/>
              <w:left w:val="nil"/>
              <w:bottom w:val="single" w:sz="4" w:space="0" w:color="auto"/>
              <w:right w:val="single" w:sz="4" w:space="0" w:color="auto"/>
            </w:tcBorders>
            <w:shd w:val="clear" w:color="000000" w:fill="FCD5B4"/>
            <w:vAlign w:val="center"/>
            <w:hideMark/>
          </w:tcPr>
          <w:p w:rsidR="00983C19" w:rsidRPr="00862553" w:rsidRDefault="00983C19" w:rsidP="005469C0">
            <w:pPr>
              <w:spacing w:after="0" w:line="240" w:lineRule="auto"/>
              <w:jc w:val="center"/>
              <w:rPr>
                <w:rFonts w:ascii="Times New Roman" w:eastAsia="Times New Roman" w:hAnsi="Times New Roman" w:cs="Times New Roman"/>
                <w:b/>
                <w:bCs/>
                <w:i/>
                <w:iCs/>
                <w:color w:val="000000"/>
                <w:sz w:val="16"/>
                <w:szCs w:val="16"/>
                <w:lang w:val="en-US"/>
              </w:rPr>
            </w:pPr>
            <w:r w:rsidRPr="00862553">
              <w:rPr>
                <w:rFonts w:ascii="Times New Roman" w:eastAsia="Times New Roman" w:hAnsi="Times New Roman" w:cs="Times New Roman"/>
                <w:b/>
                <w:bCs/>
                <w:i/>
                <w:iCs/>
                <w:color w:val="000000"/>
                <w:sz w:val="16"/>
                <w:szCs w:val="16"/>
                <w:lang w:val="en-US"/>
              </w:rPr>
              <w:t>По бюджета на ПРБ</w:t>
            </w:r>
          </w:p>
        </w:tc>
        <w:tc>
          <w:tcPr>
            <w:tcW w:w="1495" w:type="dxa"/>
            <w:tcBorders>
              <w:top w:val="single" w:sz="4" w:space="0" w:color="auto"/>
              <w:left w:val="nil"/>
              <w:bottom w:val="single" w:sz="4" w:space="0" w:color="auto"/>
              <w:right w:val="single" w:sz="4" w:space="0" w:color="auto"/>
            </w:tcBorders>
            <w:shd w:val="clear" w:color="000000" w:fill="FCD5B4"/>
            <w:vAlign w:val="center"/>
            <w:hideMark/>
          </w:tcPr>
          <w:p w:rsidR="00983C19" w:rsidRPr="00862553" w:rsidRDefault="00983C19" w:rsidP="005469C0">
            <w:pPr>
              <w:spacing w:after="0" w:line="240" w:lineRule="auto"/>
              <w:jc w:val="center"/>
              <w:rPr>
                <w:rFonts w:ascii="Times New Roman" w:eastAsia="Times New Roman" w:hAnsi="Times New Roman" w:cs="Times New Roman"/>
                <w:b/>
                <w:bCs/>
                <w:i/>
                <w:iCs/>
                <w:color w:val="000000"/>
                <w:sz w:val="16"/>
                <w:szCs w:val="16"/>
                <w:lang w:val="en-US"/>
              </w:rPr>
            </w:pPr>
            <w:r w:rsidRPr="00862553">
              <w:rPr>
                <w:rFonts w:ascii="Times New Roman" w:eastAsia="Times New Roman" w:hAnsi="Times New Roman" w:cs="Times New Roman"/>
                <w:b/>
                <w:bCs/>
                <w:i/>
                <w:iCs/>
                <w:color w:val="000000"/>
                <w:sz w:val="16"/>
                <w:szCs w:val="16"/>
                <w:lang w:val="en-US"/>
              </w:rPr>
              <w:t>По други бюджети и сметки за СЕС</w:t>
            </w:r>
          </w:p>
        </w:tc>
      </w:tr>
      <w:tr w:rsidR="00A73FB9" w:rsidRPr="00862553" w:rsidTr="00C05C30">
        <w:trPr>
          <w:trHeight w:val="390"/>
        </w:trPr>
        <w:tc>
          <w:tcPr>
            <w:tcW w:w="2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3FB9" w:rsidRPr="00862553" w:rsidRDefault="00A73FB9" w:rsidP="00A73FB9">
            <w:pPr>
              <w:spacing w:after="0" w:line="240" w:lineRule="auto"/>
              <w:rPr>
                <w:rFonts w:ascii="Times New Roman" w:eastAsia="Times New Roman" w:hAnsi="Times New Roman" w:cs="Times New Roman"/>
                <w:color w:val="000000"/>
                <w:sz w:val="16"/>
                <w:szCs w:val="16"/>
                <w:lang w:val="en-US"/>
              </w:rPr>
            </w:pPr>
            <w:r w:rsidRPr="00862553">
              <w:rPr>
                <w:rFonts w:ascii="Times New Roman" w:eastAsia="Times New Roman" w:hAnsi="Times New Roman" w:cs="Times New Roman"/>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580" w:type="dxa"/>
            <w:tcBorders>
              <w:top w:val="nil"/>
              <w:left w:val="nil"/>
              <w:bottom w:val="single" w:sz="4" w:space="0" w:color="auto"/>
              <w:right w:val="single" w:sz="4" w:space="0" w:color="auto"/>
            </w:tcBorders>
            <w:shd w:val="clear" w:color="000000" w:fill="FFFFFF"/>
            <w:vAlign w:val="center"/>
            <w:hideMark/>
          </w:tcPr>
          <w:p w:rsidR="00A73FB9" w:rsidRPr="00862553"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862553">
              <w:rPr>
                <w:rFonts w:ascii="Times New Roman" w:eastAsia="Times New Roman" w:hAnsi="Times New Roman" w:cs="Times New Roman"/>
                <w:i/>
                <w:iCs/>
                <w:color w:val="000000"/>
                <w:sz w:val="16"/>
                <w:szCs w:val="16"/>
                <w:lang w:val="en-US"/>
              </w:rPr>
              <w:t>Прогноза 2025 г.</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2 500 530,7</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7 616,0</w:t>
            </w:r>
          </w:p>
        </w:tc>
        <w:tc>
          <w:tcPr>
            <w:tcW w:w="1495" w:type="dxa"/>
            <w:tcBorders>
              <w:top w:val="single" w:sz="4" w:space="0" w:color="auto"/>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2 492 914,7</w:t>
            </w:r>
          </w:p>
        </w:tc>
      </w:tr>
      <w:tr w:rsidR="00A73FB9" w:rsidRPr="00862553" w:rsidTr="00C05C30">
        <w:trPr>
          <w:trHeight w:val="390"/>
        </w:trPr>
        <w:tc>
          <w:tcPr>
            <w:tcW w:w="2972" w:type="dxa"/>
            <w:vMerge/>
            <w:tcBorders>
              <w:top w:val="nil"/>
              <w:left w:val="single" w:sz="4" w:space="0" w:color="auto"/>
              <w:bottom w:val="single" w:sz="4" w:space="0" w:color="000000"/>
              <w:right w:val="single" w:sz="4" w:space="0" w:color="auto"/>
            </w:tcBorders>
            <w:vAlign w:val="center"/>
            <w:hideMark/>
          </w:tcPr>
          <w:p w:rsidR="00A73FB9" w:rsidRPr="00862553" w:rsidRDefault="00A73FB9" w:rsidP="00A73FB9">
            <w:pPr>
              <w:spacing w:after="0" w:line="240" w:lineRule="auto"/>
              <w:rPr>
                <w:rFonts w:ascii="Times New Roman" w:eastAsia="Times New Roman" w:hAnsi="Times New Roman" w:cs="Times New Roman"/>
                <w:color w:val="000000"/>
                <w:sz w:val="16"/>
                <w:szCs w:val="16"/>
                <w:lang w:val="en-US"/>
              </w:rPr>
            </w:pPr>
          </w:p>
        </w:tc>
        <w:tc>
          <w:tcPr>
            <w:tcW w:w="1580" w:type="dxa"/>
            <w:tcBorders>
              <w:top w:val="nil"/>
              <w:left w:val="nil"/>
              <w:bottom w:val="single" w:sz="4" w:space="0" w:color="auto"/>
              <w:right w:val="single" w:sz="4" w:space="0" w:color="auto"/>
            </w:tcBorders>
            <w:shd w:val="clear" w:color="000000" w:fill="FFFFFF"/>
            <w:vAlign w:val="center"/>
            <w:hideMark/>
          </w:tcPr>
          <w:p w:rsidR="00A73FB9" w:rsidRPr="00862553"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862553">
              <w:rPr>
                <w:rFonts w:ascii="Times New Roman" w:eastAsia="Times New Roman" w:hAnsi="Times New Roman" w:cs="Times New Roman"/>
                <w:i/>
                <w:iCs/>
                <w:color w:val="000000"/>
                <w:sz w:val="16"/>
                <w:szCs w:val="16"/>
                <w:lang w:val="en-US"/>
              </w:rPr>
              <w:t>Прогноза 2026 г.</w:t>
            </w:r>
          </w:p>
        </w:tc>
        <w:tc>
          <w:tcPr>
            <w:tcW w:w="1420" w:type="dxa"/>
            <w:tcBorders>
              <w:top w:val="nil"/>
              <w:left w:val="single" w:sz="4" w:space="0" w:color="auto"/>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1 844 076,4</w:t>
            </w:r>
          </w:p>
        </w:tc>
        <w:tc>
          <w:tcPr>
            <w:tcW w:w="1600" w:type="dxa"/>
            <w:tcBorders>
              <w:top w:val="nil"/>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7 704,0</w:t>
            </w:r>
          </w:p>
        </w:tc>
        <w:tc>
          <w:tcPr>
            <w:tcW w:w="1495" w:type="dxa"/>
            <w:tcBorders>
              <w:top w:val="nil"/>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1 836 372,4</w:t>
            </w:r>
          </w:p>
        </w:tc>
      </w:tr>
      <w:tr w:rsidR="00A73FB9" w:rsidRPr="00862553" w:rsidTr="00C05C30">
        <w:trPr>
          <w:trHeight w:val="390"/>
        </w:trPr>
        <w:tc>
          <w:tcPr>
            <w:tcW w:w="2972" w:type="dxa"/>
            <w:vMerge/>
            <w:tcBorders>
              <w:top w:val="nil"/>
              <w:left w:val="single" w:sz="4" w:space="0" w:color="auto"/>
              <w:bottom w:val="single" w:sz="4" w:space="0" w:color="000000"/>
              <w:right w:val="single" w:sz="4" w:space="0" w:color="auto"/>
            </w:tcBorders>
            <w:vAlign w:val="center"/>
            <w:hideMark/>
          </w:tcPr>
          <w:p w:rsidR="00A73FB9" w:rsidRPr="00862553" w:rsidRDefault="00A73FB9" w:rsidP="00A73FB9">
            <w:pPr>
              <w:spacing w:after="0" w:line="240" w:lineRule="auto"/>
              <w:rPr>
                <w:rFonts w:ascii="Times New Roman" w:eastAsia="Times New Roman" w:hAnsi="Times New Roman" w:cs="Times New Roman"/>
                <w:color w:val="000000"/>
                <w:sz w:val="16"/>
                <w:szCs w:val="16"/>
                <w:lang w:val="en-US"/>
              </w:rPr>
            </w:pPr>
          </w:p>
        </w:tc>
        <w:tc>
          <w:tcPr>
            <w:tcW w:w="1580" w:type="dxa"/>
            <w:tcBorders>
              <w:top w:val="nil"/>
              <w:left w:val="nil"/>
              <w:bottom w:val="single" w:sz="4" w:space="0" w:color="auto"/>
              <w:right w:val="single" w:sz="4" w:space="0" w:color="auto"/>
            </w:tcBorders>
            <w:shd w:val="clear" w:color="000000" w:fill="FFFFFF"/>
            <w:vAlign w:val="center"/>
            <w:hideMark/>
          </w:tcPr>
          <w:p w:rsidR="00A73FB9" w:rsidRPr="00862553" w:rsidRDefault="00A73FB9" w:rsidP="00A73FB9">
            <w:pPr>
              <w:spacing w:after="0" w:line="240" w:lineRule="auto"/>
              <w:jc w:val="center"/>
              <w:rPr>
                <w:rFonts w:ascii="Times New Roman" w:eastAsia="Times New Roman" w:hAnsi="Times New Roman" w:cs="Times New Roman"/>
                <w:i/>
                <w:iCs/>
                <w:color w:val="000000"/>
                <w:sz w:val="16"/>
                <w:szCs w:val="16"/>
                <w:lang w:val="en-US"/>
              </w:rPr>
            </w:pPr>
            <w:r>
              <w:rPr>
                <w:rFonts w:ascii="Times New Roman" w:eastAsia="Times New Roman" w:hAnsi="Times New Roman" w:cs="Times New Roman"/>
                <w:i/>
                <w:iCs/>
                <w:color w:val="000000"/>
                <w:sz w:val="16"/>
                <w:szCs w:val="16"/>
                <w:lang w:val="en-US"/>
              </w:rPr>
              <w:t xml:space="preserve">Прогноза 2027 </w:t>
            </w:r>
            <w:r w:rsidRPr="00862553">
              <w:rPr>
                <w:rFonts w:ascii="Times New Roman" w:eastAsia="Times New Roman" w:hAnsi="Times New Roman" w:cs="Times New Roman"/>
                <w:i/>
                <w:iCs/>
                <w:color w:val="000000"/>
                <w:sz w:val="16"/>
                <w:szCs w:val="16"/>
                <w:lang w:val="en-US"/>
              </w:rPr>
              <w:t>г.</w:t>
            </w:r>
          </w:p>
        </w:tc>
        <w:tc>
          <w:tcPr>
            <w:tcW w:w="1420" w:type="dxa"/>
            <w:tcBorders>
              <w:top w:val="nil"/>
              <w:left w:val="single" w:sz="4" w:space="0" w:color="auto"/>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852 301,7</w:t>
            </w:r>
          </w:p>
        </w:tc>
        <w:tc>
          <w:tcPr>
            <w:tcW w:w="1600" w:type="dxa"/>
            <w:tcBorders>
              <w:top w:val="nil"/>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7 704,0</w:t>
            </w:r>
          </w:p>
        </w:tc>
        <w:tc>
          <w:tcPr>
            <w:tcW w:w="1495" w:type="dxa"/>
            <w:tcBorders>
              <w:top w:val="nil"/>
              <w:left w:val="nil"/>
              <w:bottom w:val="single" w:sz="4" w:space="0" w:color="auto"/>
              <w:right w:val="single" w:sz="4" w:space="0" w:color="auto"/>
            </w:tcBorders>
            <w:shd w:val="clear" w:color="000000" w:fill="FFFFFF"/>
            <w:vAlign w:val="center"/>
          </w:tcPr>
          <w:p w:rsidR="00A73FB9" w:rsidRPr="00A73FB9" w:rsidRDefault="00A73FB9" w:rsidP="00A73FB9">
            <w:pPr>
              <w:spacing w:after="0" w:line="240" w:lineRule="auto"/>
              <w:jc w:val="center"/>
              <w:rPr>
                <w:rFonts w:ascii="Times New Roman" w:eastAsia="Times New Roman" w:hAnsi="Times New Roman" w:cs="Times New Roman"/>
                <w:i/>
                <w:iCs/>
                <w:color w:val="000000"/>
                <w:sz w:val="16"/>
                <w:szCs w:val="16"/>
                <w:lang w:val="en-US"/>
              </w:rPr>
            </w:pPr>
            <w:r w:rsidRPr="00A73FB9">
              <w:rPr>
                <w:rFonts w:ascii="Times New Roman" w:eastAsia="Times New Roman" w:hAnsi="Times New Roman" w:cs="Times New Roman"/>
                <w:i/>
                <w:iCs/>
                <w:color w:val="000000"/>
                <w:sz w:val="16"/>
                <w:szCs w:val="16"/>
                <w:lang w:val="en-US"/>
              </w:rPr>
              <w:t>844 597,7</w:t>
            </w:r>
          </w:p>
        </w:tc>
      </w:tr>
    </w:tbl>
    <w:p w:rsidR="00862553" w:rsidRDefault="00862553" w:rsidP="00862553">
      <w:pPr>
        <w:spacing w:after="0"/>
        <w:ind w:firstLine="567"/>
        <w:jc w:val="both"/>
        <w:rPr>
          <w:rFonts w:ascii="Times New Roman" w:eastAsia="Times New Roman" w:hAnsi="Times New Roman" w:cs="Times New Roman"/>
          <w:b/>
          <w:i/>
          <w:color w:val="FF0000"/>
          <w:lang w:eastAsia="bg-BG"/>
        </w:rPr>
      </w:pPr>
    </w:p>
    <w:p w:rsidR="00862553" w:rsidRPr="00BC41B0" w:rsidRDefault="00862553" w:rsidP="00810B4B">
      <w:pPr>
        <w:pStyle w:val="ListParagraph"/>
        <w:numPr>
          <w:ilvl w:val="0"/>
          <w:numId w:val="8"/>
        </w:numPr>
        <w:tabs>
          <w:tab w:val="left" w:pos="851"/>
        </w:tabs>
        <w:spacing w:after="0" w:line="240" w:lineRule="auto"/>
        <w:ind w:left="0" w:firstLine="567"/>
        <w:jc w:val="both"/>
        <w:rPr>
          <w:rFonts w:ascii="Times New Roman" w:eastAsia="Times New Roman" w:hAnsi="Times New Roman" w:cs="Times New Roman"/>
          <w:b/>
          <w:i/>
          <w:lang w:eastAsia="bg-BG"/>
        </w:rPr>
      </w:pPr>
      <w:r w:rsidRPr="00BC41B0">
        <w:rPr>
          <w:rFonts w:ascii="Times New Roman" w:eastAsia="Times New Roman" w:hAnsi="Times New Roman" w:cs="Times New Roman"/>
          <w:b/>
          <w:i/>
          <w:lang w:eastAsia="bg-BG"/>
        </w:rPr>
        <w:t>Програма „Развитие на регионите“ 2021-2027 г.</w:t>
      </w:r>
    </w:p>
    <w:p w:rsidR="00862553" w:rsidRPr="00BC41B0" w:rsidRDefault="00862553" w:rsidP="00810B4B">
      <w:pPr>
        <w:spacing w:after="0" w:line="240" w:lineRule="auto"/>
        <w:ind w:firstLine="567"/>
        <w:jc w:val="both"/>
        <w:rPr>
          <w:rFonts w:ascii="Times New Roman" w:eastAsia="Times New Roman" w:hAnsi="Times New Roman" w:cs="Times New Roman"/>
          <w:lang w:val="en-US" w:eastAsia="bg-BG"/>
        </w:rPr>
      </w:pPr>
      <w:r w:rsidRPr="00BC41B0">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BC41B0">
        <w:rPr>
          <w:rFonts w:ascii="Times New Roman" w:eastAsia="Times New Roman" w:hAnsi="Times New Roman" w:cs="Times New Roman"/>
          <w:lang w:val="en-US" w:eastAsia="bg-BG"/>
        </w:rPr>
        <w:t xml:space="preserve"> – </w:t>
      </w:r>
      <w:r w:rsidRPr="00BC41B0">
        <w:rPr>
          <w:rFonts w:ascii="Times New Roman" w:eastAsia="Times New Roman" w:hAnsi="Times New Roman" w:cs="Times New Roman"/>
          <w:lang w:eastAsia="bg-BG"/>
        </w:rPr>
        <w:t xml:space="preserve">„Европа по-близо до гражданите </w:t>
      </w:r>
      <w:r w:rsidRPr="00BC41B0">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BC41B0">
        <w:rPr>
          <w:rFonts w:ascii="Times New Roman" w:eastAsia="Times New Roman" w:hAnsi="Times New Roman" w:cs="Times New Roman"/>
          <w:lang w:val="en-US" w:eastAsia="bg-BG"/>
        </w:rPr>
        <w:t>”</w:t>
      </w:r>
      <w:r w:rsidRPr="00BC41B0">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В допълнение, в рамките на ПРР 2021-2027 г. ще бъдат изпълнявани проекти от териториалните планове за справедлив преход, със средства от Фонда за справедлив преход. По програмата се предоставят следните </w:t>
      </w:r>
      <w:r w:rsidRPr="00BC41B0">
        <w:rPr>
          <w:rFonts w:ascii="Times New Roman" w:eastAsia="Times New Roman" w:hAnsi="Times New Roman" w:cs="Times New Roman"/>
          <w:bCs/>
          <w:lang w:eastAsia="bg-BG"/>
        </w:rPr>
        <w:t>продукти/услуги:</w:t>
      </w:r>
    </w:p>
    <w:p w:rsidR="00862553" w:rsidRPr="00BC41B0" w:rsidRDefault="00862553" w:rsidP="00810B4B">
      <w:pPr>
        <w:numPr>
          <w:ilvl w:val="0"/>
          <w:numId w:val="5"/>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Продукт/услуга: Насърчаване на регионалния туризъм чрез опазване, популяризиране и развитие на културното и природно наследство;</w:t>
      </w:r>
    </w:p>
    <w:p w:rsidR="00862553" w:rsidRPr="00BC41B0" w:rsidRDefault="00862553" w:rsidP="00810B4B">
      <w:pPr>
        <w:numPr>
          <w:ilvl w:val="0"/>
          <w:numId w:val="5"/>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Продукт/услуга: Подобряване на социалната, образователната, културната, здравната и спортната инфраструктура;</w:t>
      </w:r>
    </w:p>
    <w:p w:rsidR="00862553" w:rsidRPr="00BC41B0" w:rsidRDefault="00862553" w:rsidP="00810B4B">
      <w:pPr>
        <w:numPr>
          <w:ilvl w:val="0"/>
          <w:numId w:val="5"/>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rsidR="00862553" w:rsidRPr="00BC41B0" w:rsidRDefault="00862553" w:rsidP="00810B4B">
      <w:pPr>
        <w:numPr>
          <w:ilvl w:val="0"/>
          <w:numId w:val="5"/>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rsidR="00862553" w:rsidRPr="00BC41B0" w:rsidRDefault="00862553" w:rsidP="00810B4B">
      <w:pPr>
        <w:numPr>
          <w:ilvl w:val="0"/>
          <w:numId w:val="5"/>
        </w:numPr>
        <w:spacing w:after="0" w:line="240" w:lineRule="auto"/>
        <w:ind w:left="0"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Продукт/услуга: Подобряване на свързаността и функционалните връзки между териториите чрез инвестиции в пътна инфраструктура и безопасност на движението. </w:t>
      </w:r>
    </w:p>
    <w:p w:rsidR="00862553" w:rsidRPr="00BC41B0" w:rsidRDefault="00862553" w:rsidP="00810B4B">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w:t>
      </w:r>
      <w:r w:rsidRPr="00BC41B0">
        <w:rPr>
          <w:rFonts w:ascii="Times New Roman" w:eastAsia="Times New Roman" w:hAnsi="Times New Roman" w:cs="Times New Roman"/>
          <w:lang w:eastAsia="bg-BG"/>
        </w:rPr>
        <w:lastRenderedPageBreak/>
        <w:t>капацитета на УО, териториалните органи (10 градски общини и 6 регионални съвети за развитие), на бенефициентите и партньорите по програмата.</w:t>
      </w:r>
    </w:p>
    <w:p w:rsidR="00862553" w:rsidRPr="00BC41B0" w:rsidRDefault="00862553" w:rsidP="00810B4B">
      <w:pPr>
        <w:pStyle w:val="ListParagraph"/>
        <w:numPr>
          <w:ilvl w:val="0"/>
          <w:numId w:val="8"/>
        </w:numPr>
        <w:tabs>
          <w:tab w:val="left" w:pos="851"/>
        </w:tabs>
        <w:spacing w:after="0" w:line="240" w:lineRule="auto"/>
        <w:ind w:left="0" w:firstLine="567"/>
        <w:jc w:val="both"/>
        <w:rPr>
          <w:rFonts w:ascii="Times New Roman" w:hAnsi="Times New Roman" w:cs="Times New Roman"/>
        </w:rPr>
      </w:pPr>
      <w:r w:rsidRPr="00BC41B0">
        <w:rPr>
          <w:rFonts w:ascii="Times New Roman" w:hAnsi="Times New Roman" w:cs="Times New Roman"/>
          <w:b/>
          <w:i/>
        </w:rPr>
        <w:t>Национална програма за енергийна ефективност на многофамилни жилищни сгради</w:t>
      </w:r>
      <w:r w:rsidRPr="00BC41B0">
        <w:rPr>
          <w:rFonts w:ascii="Times New Roman" w:hAnsi="Times New Roman" w:cs="Times New Roman"/>
          <w:i/>
        </w:rPr>
        <w:t xml:space="preserve"> (</w:t>
      </w:r>
      <w:r w:rsidRPr="00BC41B0">
        <w:rPr>
          <w:rFonts w:ascii="Times New Roman" w:hAnsi="Times New Roman" w:cs="Times New Roman"/>
        </w:rPr>
        <w:t>Приета с</w:t>
      </w:r>
      <w:r w:rsidRPr="00BC41B0">
        <w:rPr>
          <w:rFonts w:ascii="Times New Roman" w:hAnsi="Times New Roman" w:cs="Times New Roman"/>
          <w:i/>
        </w:rPr>
        <w:t xml:space="preserve"> </w:t>
      </w:r>
      <w:r w:rsidRPr="00BC41B0">
        <w:rPr>
          <w:rFonts w:ascii="Times New Roman" w:hAnsi="Times New Roman" w:cs="Times New Roman"/>
        </w:rPr>
        <w:t>ПМС № 18/2015 г.). Програмата се финансира със средства от държавния бюджет на Р България и представлява 100% безвъзмездна финансова помощ за собствениците в жилищните сгради за изпълнение на мерки за подобряване на енергийната ефективност на сградите. След изпълнение на енергоспестяващи мерки сградите постигат клас „С“ на ЕЕ. Програмата е в заключителен етап на изпълнение;</w:t>
      </w:r>
    </w:p>
    <w:p w:rsidR="00862553" w:rsidRPr="00BC41B0" w:rsidRDefault="00862553" w:rsidP="00810B4B">
      <w:pPr>
        <w:pStyle w:val="ListParagraph"/>
        <w:numPr>
          <w:ilvl w:val="0"/>
          <w:numId w:val="8"/>
        </w:numPr>
        <w:tabs>
          <w:tab w:val="left" w:pos="851"/>
        </w:tabs>
        <w:spacing w:after="0" w:line="240" w:lineRule="auto"/>
        <w:ind w:left="0" w:firstLine="567"/>
        <w:jc w:val="both"/>
        <w:rPr>
          <w:rFonts w:ascii="Times New Roman" w:hAnsi="Times New Roman" w:cs="Times New Roman"/>
        </w:rPr>
      </w:pPr>
      <w:r w:rsidRPr="00BC41B0">
        <w:rPr>
          <w:rFonts w:ascii="Times New Roman" w:hAnsi="Times New Roman" w:cs="Times New Roman"/>
          <w:b/>
          <w:i/>
        </w:rPr>
        <w:t xml:space="preserve">Подмярка „Подкрепа за устойчиво енергийно обновяване на жилищния сграден фонд“ </w:t>
      </w:r>
      <w:r w:rsidRPr="00BC41B0">
        <w:rPr>
          <w:rFonts w:ascii="Times New Roman" w:hAnsi="Times New Roman" w:cs="Times New Roman"/>
        </w:rPr>
        <w:t xml:space="preserve">Компонент 4: „Нисковъглеродна икономика“ финансирана по НПВУ в рамките на Структурата за наблюдение и докладване. Изпълнението на процедурата стартира 2023 г. и се предвижда изпълнение в два етапа: Етап </w:t>
      </w:r>
      <w:r w:rsidRPr="00BC41B0">
        <w:rPr>
          <w:rFonts w:ascii="Times New Roman" w:hAnsi="Times New Roman" w:cs="Times New Roman"/>
          <w:lang w:val="en-US"/>
        </w:rPr>
        <w:t>I</w:t>
      </w:r>
      <w:r w:rsidRPr="00BC41B0">
        <w:rPr>
          <w:rFonts w:ascii="Times New Roman" w:hAnsi="Times New Roman" w:cs="Times New Roman"/>
        </w:rPr>
        <w:t xml:space="preserve"> – предоставяне на 100% безвъзмездно финансиране със средства от ЕС и държавния бюджет на Р България за изпълнение на енергоспестяващи мерки; Етап </w:t>
      </w:r>
      <w:r w:rsidRPr="00BC41B0">
        <w:rPr>
          <w:rFonts w:ascii="Times New Roman" w:hAnsi="Times New Roman" w:cs="Times New Roman"/>
          <w:lang w:val="en-US"/>
        </w:rPr>
        <w:t>II</w:t>
      </w:r>
      <w:r w:rsidRPr="00BC41B0">
        <w:rPr>
          <w:rFonts w:ascii="Times New Roman" w:hAnsi="Times New Roman" w:cs="Times New Roman"/>
        </w:rPr>
        <w:t xml:space="preserve"> – предоставяне на 80% безвъзмездно финансиране, при осигуряване на самофинансиране от собствениците в жилищната сграда на 20% собствен принос в общата стойност на допустимите разходи за обновяване на сградите. След изпълнение на енергоспестяващи мерки сградите постигат клас „В“ на ЕЕ. Етапът на изпълнение на процедурата е сключване на договори за предоставяне на БФП.</w:t>
      </w:r>
    </w:p>
    <w:p w:rsidR="00810B4B" w:rsidRPr="00BC41B0" w:rsidRDefault="00810B4B" w:rsidP="00810B4B">
      <w:pPr>
        <w:pStyle w:val="ListParagraph"/>
        <w:tabs>
          <w:tab w:val="left" w:pos="851"/>
        </w:tabs>
        <w:spacing w:after="0" w:line="240" w:lineRule="auto"/>
        <w:ind w:left="567"/>
        <w:jc w:val="both"/>
        <w:rPr>
          <w:rFonts w:ascii="Times New Roman" w:hAnsi="Times New Roman" w:cs="Times New Roman"/>
        </w:rPr>
      </w:pPr>
    </w:p>
    <w:p w:rsidR="00230093" w:rsidRPr="00862553" w:rsidRDefault="00230093" w:rsidP="00810B4B">
      <w:pPr>
        <w:pStyle w:val="ListParagraph"/>
        <w:numPr>
          <w:ilvl w:val="0"/>
          <w:numId w:val="3"/>
        </w:numPr>
        <w:spacing w:after="0"/>
        <w:jc w:val="both"/>
        <w:rPr>
          <w:rFonts w:ascii="Times New Roman" w:hAnsi="Times New Roman" w:cs="Times New Roman"/>
          <w:b/>
          <w:i/>
          <w:color w:val="0000CC"/>
        </w:rPr>
      </w:pPr>
      <w:r w:rsidRPr="00862553">
        <w:rPr>
          <w:rFonts w:ascii="Times New Roman" w:hAnsi="Times New Roman" w:cs="Times New Roman"/>
          <w:b/>
          <w:i/>
          <w:color w:val="0000CC"/>
        </w:rPr>
        <w:t>Ключови индикатори и целеви стойности</w:t>
      </w:r>
      <w:r w:rsidR="00091C5B" w:rsidRPr="00862553">
        <w:rPr>
          <w:rFonts w:ascii="Times New Roman" w:hAnsi="Times New Roman" w:cs="Times New Roman"/>
          <w:b/>
          <w:i/>
          <w:color w:val="0000CC"/>
        </w:rPr>
        <w:t xml:space="preserve"> </w:t>
      </w:r>
    </w:p>
    <w:p w:rsidR="00810B4B" w:rsidRPr="00862553" w:rsidRDefault="009A1627" w:rsidP="00810B4B">
      <w:pPr>
        <w:spacing w:after="0"/>
        <w:rPr>
          <w:rFonts w:ascii="Times New Roman" w:hAnsi="Times New Roman" w:cs="Times New Roman"/>
          <w:b/>
          <w:bCs/>
          <w:sz w:val="20"/>
          <w:szCs w:val="20"/>
        </w:rPr>
      </w:pPr>
      <w:r w:rsidRPr="00862553">
        <w:rPr>
          <w:rFonts w:ascii="Times New Roman" w:hAnsi="Times New Roman" w:cs="Times New Roman"/>
          <w:b/>
          <w:bCs/>
          <w:sz w:val="20"/>
          <w:szCs w:val="20"/>
        </w:rPr>
        <w:t>КЛЮЧОВИ ИНДИКАТОРИ ЗА ИЗПЪЛНЕНИЕ И ЦЕЛЕВИ СТОЙНОСТИ</w:t>
      </w:r>
    </w:p>
    <w:tbl>
      <w:tblPr>
        <w:tblStyle w:val="TableGrid"/>
        <w:tblW w:w="93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1141"/>
        <w:gridCol w:w="1374"/>
        <w:gridCol w:w="1345"/>
        <w:gridCol w:w="1254"/>
      </w:tblGrid>
      <w:tr w:rsidR="00F32A79" w:rsidRPr="006817BE" w:rsidTr="00424B2C">
        <w:trPr>
          <w:trHeight w:val="274"/>
        </w:trPr>
        <w:tc>
          <w:tcPr>
            <w:tcW w:w="4229" w:type="dxa"/>
          </w:tcPr>
          <w:p w:rsidR="00F32A79" w:rsidRPr="006817BE" w:rsidRDefault="00F32A79" w:rsidP="00F32A79">
            <w:pPr>
              <w:jc w:val="center"/>
              <w:rPr>
                <w:rFonts w:ascii="Times New Roman" w:hAnsi="Times New Roman" w:cs="Times New Roman"/>
                <w:i/>
                <w:iCs/>
                <w:sz w:val="16"/>
                <w:szCs w:val="16"/>
              </w:rPr>
            </w:pPr>
            <w:r w:rsidRPr="006817BE">
              <w:rPr>
                <w:rFonts w:ascii="Times New Roman" w:hAnsi="Times New Roman" w:cs="Times New Roman"/>
                <w:i/>
                <w:iCs/>
                <w:sz w:val="16"/>
                <w:szCs w:val="16"/>
              </w:rPr>
              <w:t>Област на политика:</w:t>
            </w:r>
          </w:p>
          <w:p w:rsidR="00F32A79" w:rsidRPr="006817BE" w:rsidRDefault="00810B4B" w:rsidP="00F32A79">
            <w:pPr>
              <w:jc w:val="center"/>
              <w:rPr>
                <w:rFonts w:ascii="Times New Roman" w:hAnsi="Times New Roman" w:cs="Times New Roman"/>
                <w:b/>
                <w:bCs/>
                <w:sz w:val="16"/>
                <w:szCs w:val="16"/>
              </w:rPr>
            </w:pPr>
            <w:r w:rsidRPr="00862553">
              <w:rPr>
                <w:rFonts w:ascii="Times New Roman" w:eastAsia="Times New Roman" w:hAnsi="Times New Roman" w:cs="Times New Roman"/>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1141" w:type="dxa"/>
            <w:vMerge w:val="restart"/>
            <w:shd w:val="clear" w:color="auto" w:fill="F2F2F2" w:themeFill="background1" w:themeFillShade="F2"/>
          </w:tcPr>
          <w:p w:rsidR="00F32A79" w:rsidRPr="006817BE" w:rsidRDefault="00F32A79" w:rsidP="00F32A79">
            <w:pPr>
              <w:spacing w:before="240"/>
              <w:jc w:val="center"/>
              <w:rPr>
                <w:rFonts w:ascii="Times New Roman" w:hAnsi="Times New Roman" w:cs="Times New Roman"/>
                <w:b/>
                <w:bCs/>
                <w:sz w:val="16"/>
                <w:szCs w:val="16"/>
              </w:rPr>
            </w:pPr>
            <w:r w:rsidRPr="006817BE">
              <w:rPr>
                <w:rFonts w:ascii="Times New Roman" w:hAnsi="Times New Roman" w:cs="Times New Roman"/>
                <w:b/>
                <w:bCs/>
                <w:sz w:val="16"/>
                <w:szCs w:val="16"/>
              </w:rPr>
              <w:t>Мерна единица</w:t>
            </w:r>
          </w:p>
        </w:tc>
        <w:tc>
          <w:tcPr>
            <w:tcW w:w="3973" w:type="dxa"/>
            <w:gridSpan w:val="3"/>
            <w:tcBorders>
              <w:top w:val="single" w:sz="4" w:space="0" w:color="auto"/>
              <w:bottom w:val="single" w:sz="4" w:space="0" w:color="auto"/>
            </w:tcBorders>
          </w:tcPr>
          <w:p w:rsidR="00F32A79" w:rsidRPr="006817BE" w:rsidRDefault="00F32A79" w:rsidP="00F32A79">
            <w:pPr>
              <w:spacing w:before="120"/>
              <w:jc w:val="center"/>
              <w:rPr>
                <w:rFonts w:ascii="Times New Roman" w:hAnsi="Times New Roman" w:cs="Times New Roman"/>
                <w:b/>
                <w:bCs/>
                <w:sz w:val="16"/>
                <w:szCs w:val="16"/>
              </w:rPr>
            </w:pPr>
            <w:r w:rsidRPr="006817BE">
              <w:rPr>
                <w:rFonts w:ascii="Times New Roman" w:hAnsi="Times New Roman" w:cs="Times New Roman"/>
                <w:b/>
                <w:bCs/>
                <w:sz w:val="16"/>
                <w:szCs w:val="16"/>
              </w:rPr>
              <w:t>Целева стойност</w:t>
            </w:r>
          </w:p>
        </w:tc>
      </w:tr>
      <w:tr w:rsidR="00F32A79" w:rsidRPr="006817BE" w:rsidTr="00424B2C">
        <w:trPr>
          <w:trHeight w:val="70"/>
        </w:trPr>
        <w:tc>
          <w:tcPr>
            <w:tcW w:w="4229" w:type="dxa"/>
            <w:tcBorders>
              <w:bottom w:val="single" w:sz="4" w:space="0" w:color="auto"/>
            </w:tcBorders>
          </w:tcPr>
          <w:p w:rsidR="00F32A79" w:rsidRPr="006817BE" w:rsidRDefault="00F32A79" w:rsidP="00F32A79">
            <w:pPr>
              <w:spacing w:before="120"/>
              <w:jc w:val="center"/>
              <w:rPr>
                <w:rFonts w:ascii="Times New Roman" w:hAnsi="Times New Roman" w:cs="Times New Roman"/>
                <w:b/>
                <w:bCs/>
                <w:sz w:val="16"/>
                <w:szCs w:val="16"/>
              </w:rPr>
            </w:pPr>
            <w:r w:rsidRPr="006817BE">
              <w:rPr>
                <w:rFonts w:ascii="Times New Roman" w:hAnsi="Times New Roman" w:cs="Times New Roman"/>
                <w:b/>
                <w:bCs/>
                <w:sz w:val="16"/>
                <w:szCs w:val="16"/>
              </w:rPr>
              <w:t>Наименование на индикатора</w:t>
            </w:r>
          </w:p>
        </w:tc>
        <w:tc>
          <w:tcPr>
            <w:tcW w:w="1141" w:type="dxa"/>
            <w:vMerge/>
            <w:tcBorders>
              <w:bottom w:val="single" w:sz="4" w:space="0" w:color="auto"/>
            </w:tcBorders>
            <w:shd w:val="clear" w:color="auto" w:fill="F2F2F2" w:themeFill="background1" w:themeFillShade="F2"/>
          </w:tcPr>
          <w:p w:rsidR="00F32A79" w:rsidRPr="006817BE" w:rsidRDefault="00F32A79" w:rsidP="00F32A79">
            <w:pPr>
              <w:jc w:val="center"/>
              <w:rPr>
                <w:rFonts w:ascii="Times New Roman" w:hAnsi="Times New Roman" w:cs="Times New Roman"/>
                <w:b/>
                <w:bCs/>
                <w:sz w:val="16"/>
                <w:szCs w:val="16"/>
              </w:rPr>
            </w:pPr>
          </w:p>
        </w:tc>
        <w:tc>
          <w:tcPr>
            <w:tcW w:w="1374" w:type="dxa"/>
            <w:tcBorders>
              <w:top w:val="single" w:sz="4" w:space="0" w:color="auto"/>
              <w:bottom w:val="single" w:sz="4" w:space="0" w:color="auto"/>
            </w:tcBorders>
          </w:tcPr>
          <w:p w:rsidR="00F32A79" w:rsidRPr="006817BE" w:rsidRDefault="004C69C4" w:rsidP="00F32A79">
            <w:pPr>
              <w:jc w:val="center"/>
              <w:rPr>
                <w:rFonts w:ascii="Times New Roman" w:hAnsi="Times New Roman" w:cs="Times New Roman"/>
                <w:b/>
                <w:bCs/>
                <w:i/>
                <w:iCs/>
                <w:sz w:val="16"/>
                <w:szCs w:val="16"/>
              </w:rPr>
            </w:pPr>
            <w:r w:rsidRPr="006817BE">
              <w:rPr>
                <w:rFonts w:ascii="Times New Roman" w:hAnsi="Times New Roman" w:cs="Times New Roman"/>
                <w:b/>
                <w:bCs/>
                <w:i/>
                <w:iCs/>
                <w:sz w:val="16"/>
                <w:szCs w:val="16"/>
              </w:rPr>
              <w:t>Прогноза</w:t>
            </w:r>
          </w:p>
          <w:p w:rsidR="00F32A79" w:rsidRPr="006817BE" w:rsidRDefault="00335542" w:rsidP="008B72CE">
            <w:pPr>
              <w:jc w:val="center"/>
              <w:rPr>
                <w:rFonts w:ascii="Times New Roman" w:hAnsi="Times New Roman" w:cs="Times New Roman"/>
                <w:b/>
                <w:bCs/>
                <w:sz w:val="16"/>
                <w:szCs w:val="16"/>
              </w:rPr>
            </w:pPr>
            <w:r w:rsidRPr="006817BE">
              <w:rPr>
                <w:rFonts w:ascii="Times New Roman" w:hAnsi="Times New Roman" w:cs="Times New Roman"/>
                <w:b/>
                <w:bCs/>
                <w:i/>
                <w:iCs/>
                <w:sz w:val="16"/>
                <w:szCs w:val="16"/>
              </w:rPr>
              <w:t>20</w:t>
            </w:r>
            <w:r w:rsidRPr="006817BE">
              <w:rPr>
                <w:rFonts w:ascii="Times New Roman" w:hAnsi="Times New Roman" w:cs="Times New Roman"/>
                <w:b/>
                <w:bCs/>
                <w:i/>
                <w:iCs/>
                <w:sz w:val="16"/>
                <w:szCs w:val="16"/>
                <w:lang w:val="en-US"/>
              </w:rPr>
              <w:t>2</w:t>
            </w:r>
            <w:r w:rsidR="008B72CE" w:rsidRPr="006817BE">
              <w:rPr>
                <w:rFonts w:ascii="Times New Roman" w:hAnsi="Times New Roman" w:cs="Times New Roman"/>
                <w:b/>
                <w:bCs/>
                <w:i/>
                <w:iCs/>
                <w:sz w:val="16"/>
                <w:szCs w:val="16"/>
              </w:rPr>
              <w:t>5</w:t>
            </w:r>
            <w:r w:rsidRPr="006817BE">
              <w:rPr>
                <w:rFonts w:ascii="Times New Roman" w:hAnsi="Times New Roman" w:cs="Times New Roman"/>
                <w:b/>
                <w:bCs/>
                <w:i/>
                <w:iCs/>
                <w:sz w:val="16"/>
                <w:szCs w:val="16"/>
              </w:rPr>
              <w:t xml:space="preserve"> </w:t>
            </w:r>
            <w:r w:rsidR="00F32A79" w:rsidRPr="006817BE">
              <w:rPr>
                <w:rFonts w:ascii="Times New Roman" w:hAnsi="Times New Roman" w:cs="Times New Roman"/>
                <w:b/>
                <w:bCs/>
                <w:i/>
                <w:iCs/>
                <w:sz w:val="16"/>
                <w:szCs w:val="16"/>
              </w:rPr>
              <w:t>г.</w:t>
            </w:r>
          </w:p>
        </w:tc>
        <w:tc>
          <w:tcPr>
            <w:tcW w:w="1345" w:type="dxa"/>
            <w:tcBorders>
              <w:top w:val="single" w:sz="4" w:space="0" w:color="auto"/>
              <w:bottom w:val="single" w:sz="4" w:space="0" w:color="auto"/>
            </w:tcBorders>
          </w:tcPr>
          <w:p w:rsidR="00F32A79" w:rsidRPr="006817BE" w:rsidRDefault="00F32A79" w:rsidP="00F32A79">
            <w:pPr>
              <w:jc w:val="center"/>
              <w:rPr>
                <w:rFonts w:ascii="Times New Roman" w:hAnsi="Times New Roman" w:cs="Times New Roman"/>
                <w:b/>
                <w:bCs/>
                <w:i/>
                <w:iCs/>
                <w:sz w:val="16"/>
                <w:szCs w:val="16"/>
              </w:rPr>
            </w:pPr>
            <w:r w:rsidRPr="006817BE">
              <w:rPr>
                <w:rFonts w:ascii="Times New Roman" w:hAnsi="Times New Roman" w:cs="Times New Roman"/>
                <w:b/>
                <w:bCs/>
                <w:i/>
                <w:iCs/>
                <w:sz w:val="16"/>
                <w:szCs w:val="16"/>
              </w:rPr>
              <w:t>Прогноза</w:t>
            </w:r>
          </w:p>
          <w:p w:rsidR="00F32A79" w:rsidRPr="006817BE" w:rsidRDefault="00335542" w:rsidP="008B72CE">
            <w:pPr>
              <w:jc w:val="center"/>
              <w:rPr>
                <w:rFonts w:ascii="Times New Roman" w:hAnsi="Times New Roman" w:cs="Times New Roman"/>
                <w:b/>
                <w:bCs/>
                <w:sz w:val="16"/>
                <w:szCs w:val="16"/>
              </w:rPr>
            </w:pPr>
            <w:r w:rsidRPr="006817BE">
              <w:rPr>
                <w:rFonts w:ascii="Times New Roman" w:hAnsi="Times New Roman" w:cs="Times New Roman"/>
                <w:b/>
                <w:bCs/>
                <w:i/>
                <w:iCs/>
                <w:sz w:val="16"/>
                <w:szCs w:val="16"/>
              </w:rPr>
              <w:t>20</w:t>
            </w:r>
            <w:r w:rsidRPr="006817BE">
              <w:rPr>
                <w:rFonts w:ascii="Times New Roman" w:hAnsi="Times New Roman" w:cs="Times New Roman"/>
                <w:b/>
                <w:bCs/>
                <w:i/>
                <w:iCs/>
                <w:sz w:val="16"/>
                <w:szCs w:val="16"/>
                <w:lang w:val="en-US"/>
              </w:rPr>
              <w:t>2</w:t>
            </w:r>
            <w:r w:rsidR="008B72CE" w:rsidRPr="006817BE">
              <w:rPr>
                <w:rFonts w:ascii="Times New Roman" w:hAnsi="Times New Roman" w:cs="Times New Roman"/>
                <w:b/>
                <w:bCs/>
                <w:i/>
                <w:iCs/>
                <w:sz w:val="16"/>
                <w:szCs w:val="16"/>
              </w:rPr>
              <w:t>6</w:t>
            </w:r>
            <w:r w:rsidRPr="006817BE">
              <w:rPr>
                <w:rFonts w:ascii="Times New Roman" w:hAnsi="Times New Roman" w:cs="Times New Roman"/>
                <w:b/>
                <w:bCs/>
                <w:i/>
                <w:iCs/>
                <w:sz w:val="16"/>
                <w:szCs w:val="16"/>
              </w:rPr>
              <w:t xml:space="preserve"> </w:t>
            </w:r>
            <w:r w:rsidR="00F32A79" w:rsidRPr="006817BE">
              <w:rPr>
                <w:rFonts w:ascii="Times New Roman" w:hAnsi="Times New Roman" w:cs="Times New Roman"/>
                <w:b/>
                <w:bCs/>
                <w:i/>
                <w:iCs/>
                <w:sz w:val="16"/>
                <w:szCs w:val="16"/>
              </w:rPr>
              <w:t>г.</w:t>
            </w:r>
          </w:p>
        </w:tc>
        <w:tc>
          <w:tcPr>
            <w:tcW w:w="1254" w:type="dxa"/>
            <w:tcBorders>
              <w:top w:val="single" w:sz="4" w:space="0" w:color="auto"/>
              <w:bottom w:val="single" w:sz="4" w:space="0" w:color="auto"/>
            </w:tcBorders>
          </w:tcPr>
          <w:p w:rsidR="00F32A79" w:rsidRPr="006817BE" w:rsidRDefault="00F32A79" w:rsidP="00F32A79">
            <w:pPr>
              <w:jc w:val="center"/>
              <w:rPr>
                <w:rFonts w:ascii="Times New Roman" w:hAnsi="Times New Roman" w:cs="Times New Roman"/>
                <w:b/>
                <w:bCs/>
                <w:i/>
                <w:iCs/>
                <w:sz w:val="16"/>
                <w:szCs w:val="16"/>
              </w:rPr>
            </w:pPr>
            <w:r w:rsidRPr="006817BE">
              <w:rPr>
                <w:rFonts w:ascii="Times New Roman" w:hAnsi="Times New Roman" w:cs="Times New Roman"/>
                <w:b/>
                <w:bCs/>
                <w:i/>
                <w:iCs/>
                <w:sz w:val="16"/>
                <w:szCs w:val="16"/>
              </w:rPr>
              <w:t>Прогноза</w:t>
            </w:r>
          </w:p>
          <w:p w:rsidR="00F32A79" w:rsidRPr="006817BE" w:rsidRDefault="00335542" w:rsidP="008B72CE">
            <w:pPr>
              <w:jc w:val="center"/>
              <w:rPr>
                <w:rFonts w:ascii="Times New Roman" w:hAnsi="Times New Roman" w:cs="Times New Roman"/>
                <w:b/>
                <w:bCs/>
                <w:sz w:val="16"/>
                <w:szCs w:val="16"/>
              </w:rPr>
            </w:pPr>
            <w:r w:rsidRPr="006817BE">
              <w:rPr>
                <w:rFonts w:ascii="Times New Roman" w:hAnsi="Times New Roman" w:cs="Times New Roman"/>
                <w:b/>
                <w:bCs/>
                <w:i/>
                <w:iCs/>
                <w:sz w:val="16"/>
                <w:szCs w:val="16"/>
              </w:rPr>
              <w:t>20</w:t>
            </w:r>
            <w:r w:rsidRPr="006817BE">
              <w:rPr>
                <w:rFonts w:ascii="Times New Roman" w:hAnsi="Times New Roman" w:cs="Times New Roman"/>
                <w:b/>
                <w:bCs/>
                <w:i/>
                <w:iCs/>
                <w:sz w:val="16"/>
                <w:szCs w:val="16"/>
                <w:lang w:val="en-US"/>
              </w:rPr>
              <w:t>2</w:t>
            </w:r>
            <w:r w:rsidR="008B72CE" w:rsidRPr="006817BE">
              <w:rPr>
                <w:rFonts w:ascii="Times New Roman" w:hAnsi="Times New Roman" w:cs="Times New Roman"/>
                <w:b/>
                <w:bCs/>
                <w:i/>
                <w:iCs/>
                <w:sz w:val="16"/>
                <w:szCs w:val="16"/>
              </w:rPr>
              <w:t>7</w:t>
            </w:r>
            <w:r w:rsidRPr="006817BE">
              <w:rPr>
                <w:rFonts w:ascii="Times New Roman" w:hAnsi="Times New Roman" w:cs="Times New Roman"/>
                <w:b/>
                <w:bCs/>
                <w:i/>
                <w:iCs/>
                <w:sz w:val="16"/>
                <w:szCs w:val="16"/>
              </w:rPr>
              <w:t xml:space="preserve"> </w:t>
            </w:r>
            <w:r w:rsidR="00F32A79" w:rsidRPr="006817BE">
              <w:rPr>
                <w:rFonts w:ascii="Times New Roman" w:hAnsi="Times New Roman" w:cs="Times New Roman"/>
                <w:b/>
                <w:bCs/>
                <w:i/>
                <w:iCs/>
                <w:sz w:val="16"/>
                <w:szCs w:val="16"/>
              </w:rPr>
              <w:t>г.</w:t>
            </w:r>
          </w:p>
        </w:tc>
      </w:tr>
      <w:tr w:rsidR="00E50790" w:rsidRPr="006817BE" w:rsidTr="009E391C">
        <w:trPr>
          <w:trHeight w:val="196"/>
        </w:trPr>
        <w:tc>
          <w:tcPr>
            <w:tcW w:w="4229" w:type="dxa"/>
            <w:tcBorders>
              <w:top w:val="single" w:sz="4" w:space="0" w:color="auto"/>
              <w:bottom w:val="nil"/>
            </w:tcBorders>
          </w:tcPr>
          <w:p w:rsidR="00E50790" w:rsidRPr="00BC41B0" w:rsidRDefault="00F32A79" w:rsidP="006817BE">
            <w:pPr>
              <w:jc w:val="both"/>
              <w:rPr>
                <w:rFonts w:ascii="Times New Roman" w:eastAsia="Times New Roman" w:hAnsi="Times New Roman" w:cs="Times New Roman"/>
                <w:sz w:val="16"/>
                <w:szCs w:val="16"/>
                <w:lang w:eastAsia="bg-BG"/>
              </w:rPr>
            </w:pPr>
            <w:r w:rsidRPr="00BC41B0">
              <w:rPr>
                <w:rFonts w:ascii="Times New Roman" w:hAnsi="Times New Roman" w:cs="Times New Roman"/>
                <w:sz w:val="16"/>
                <w:szCs w:val="16"/>
              </w:rPr>
              <w:t>1.</w:t>
            </w:r>
            <w:r w:rsidR="00983C19" w:rsidRPr="00BC41B0">
              <w:rPr>
                <w:rFonts w:ascii="Times New Roman" w:eastAsia="Times New Roman" w:hAnsi="Times New Roman" w:cs="Times New Roman"/>
                <w:sz w:val="16"/>
                <w:szCs w:val="16"/>
                <w:lang w:eastAsia="bg-BG"/>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w:t>
            </w:r>
          </w:p>
        </w:tc>
        <w:tc>
          <w:tcPr>
            <w:tcW w:w="1141" w:type="dxa"/>
            <w:tcBorders>
              <w:top w:val="single" w:sz="4" w:space="0" w:color="auto"/>
              <w:bottom w:val="nil"/>
            </w:tcBorders>
            <w:shd w:val="clear" w:color="auto" w:fill="F2F2F2" w:themeFill="background1" w:themeFillShade="F2"/>
            <w:vAlign w:val="center"/>
          </w:tcPr>
          <w:p w:rsidR="00983C19" w:rsidRPr="00BC41B0" w:rsidRDefault="00983C19" w:rsidP="00983C19">
            <w:pPr>
              <w:jc w:val="center"/>
              <w:rPr>
                <w:rFonts w:ascii="Times New Roman" w:hAnsi="Times New Roman" w:cs="Times New Roman"/>
                <w:bCs/>
                <w:sz w:val="16"/>
                <w:szCs w:val="16"/>
              </w:rPr>
            </w:pPr>
          </w:p>
          <w:p w:rsidR="00E50790" w:rsidRPr="00BC41B0" w:rsidRDefault="00983C19" w:rsidP="00983C19">
            <w:pPr>
              <w:jc w:val="center"/>
              <w:rPr>
                <w:rFonts w:ascii="Times New Roman" w:hAnsi="Times New Roman" w:cs="Times New Roman"/>
                <w:sz w:val="16"/>
                <w:szCs w:val="16"/>
              </w:rPr>
            </w:pPr>
            <w:r w:rsidRPr="00BC41B0">
              <w:rPr>
                <w:rFonts w:ascii="Times New Roman" w:eastAsia="Times New Roman" w:hAnsi="Times New Roman" w:cs="Times New Roman"/>
                <w:sz w:val="16"/>
                <w:szCs w:val="16"/>
                <w:lang w:eastAsia="bg-BG"/>
              </w:rPr>
              <w:t>%</w:t>
            </w:r>
          </w:p>
        </w:tc>
        <w:tc>
          <w:tcPr>
            <w:tcW w:w="1374" w:type="dxa"/>
            <w:tcBorders>
              <w:top w:val="single" w:sz="4" w:space="0" w:color="auto"/>
              <w:bottom w:val="nil"/>
            </w:tcBorders>
            <w:vAlign w:val="center"/>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60</w:t>
            </w:r>
          </w:p>
        </w:tc>
        <w:tc>
          <w:tcPr>
            <w:tcW w:w="1345" w:type="dxa"/>
            <w:tcBorders>
              <w:top w:val="single" w:sz="4" w:space="0" w:color="auto"/>
              <w:bottom w:val="nil"/>
            </w:tcBorders>
            <w:vAlign w:val="center"/>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20</w:t>
            </w:r>
          </w:p>
        </w:tc>
        <w:tc>
          <w:tcPr>
            <w:tcW w:w="1254" w:type="dxa"/>
            <w:tcBorders>
              <w:top w:val="single" w:sz="4" w:space="0" w:color="auto"/>
              <w:bottom w:val="nil"/>
            </w:tcBorders>
            <w:vAlign w:val="center"/>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20</w:t>
            </w:r>
            <w:r w:rsidR="00F92CB4" w:rsidRPr="00BC41B0">
              <w:rPr>
                <w:rStyle w:val="FootnoteReference"/>
                <w:rFonts w:ascii="Times New Roman" w:hAnsi="Times New Roman" w:cs="Times New Roman"/>
                <w:b/>
                <w:bCs/>
                <w:color w:val="0000CC"/>
                <w:sz w:val="20"/>
                <w:szCs w:val="20"/>
              </w:rPr>
              <w:footnoteReference w:id="1"/>
            </w:r>
          </w:p>
        </w:tc>
      </w:tr>
      <w:tr w:rsidR="00E50790" w:rsidRPr="006817BE" w:rsidTr="009E391C">
        <w:trPr>
          <w:trHeight w:val="196"/>
        </w:trPr>
        <w:tc>
          <w:tcPr>
            <w:tcW w:w="4229" w:type="dxa"/>
            <w:tcBorders>
              <w:top w:val="nil"/>
            </w:tcBorders>
          </w:tcPr>
          <w:p w:rsidR="00E50790" w:rsidRPr="00BC41B0" w:rsidRDefault="00983C19" w:rsidP="009A1627">
            <w:pPr>
              <w:rPr>
                <w:rFonts w:ascii="Times New Roman" w:hAnsi="Times New Roman" w:cs="Times New Roman"/>
                <w:bCs/>
                <w:sz w:val="16"/>
                <w:szCs w:val="16"/>
              </w:rPr>
            </w:pPr>
            <w:r w:rsidRPr="00BC41B0">
              <w:rPr>
                <w:rFonts w:ascii="Times New Roman" w:hAnsi="Times New Roman" w:cs="Times New Roman"/>
                <w:sz w:val="16"/>
                <w:szCs w:val="16"/>
              </w:rPr>
              <w:t xml:space="preserve">2. </w:t>
            </w:r>
            <w:r w:rsidRPr="00BC41B0">
              <w:rPr>
                <w:rFonts w:ascii="Times New Roman" w:eastAsia="Times New Roman" w:hAnsi="Times New Roman" w:cs="Times New Roman"/>
                <w:sz w:val="16"/>
                <w:szCs w:val="16"/>
                <w:lang w:eastAsia="bg-BG"/>
              </w:rPr>
              <w:t>Намаляване на дела на мигриралото население (вътрешна миграция)</w:t>
            </w:r>
          </w:p>
        </w:tc>
        <w:tc>
          <w:tcPr>
            <w:tcW w:w="1141" w:type="dxa"/>
            <w:tcBorders>
              <w:top w:val="nil"/>
            </w:tcBorders>
            <w:shd w:val="clear" w:color="auto" w:fill="F2F2F2" w:themeFill="background1" w:themeFillShade="F2"/>
          </w:tcPr>
          <w:p w:rsidR="00E50790" w:rsidRPr="00BC41B0" w:rsidRDefault="00983C19" w:rsidP="00983C19">
            <w:pPr>
              <w:jc w:val="center"/>
              <w:rPr>
                <w:rFonts w:ascii="Times New Roman" w:hAnsi="Times New Roman" w:cs="Times New Roman"/>
                <w:bCs/>
                <w:sz w:val="16"/>
                <w:szCs w:val="16"/>
              </w:rPr>
            </w:pPr>
            <w:r w:rsidRPr="00BC41B0">
              <w:rPr>
                <w:rFonts w:ascii="Times New Roman" w:eastAsia="Times New Roman" w:hAnsi="Times New Roman" w:cs="Times New Roman"/>
                <w:sz w:val="16"/>
                <w:szCs w:val="16"/>
                <w:lang w:eastAsia="bg-BG"/>
              </w:rPr>
              <w:t>%</w:t>
            </w:r>
          </w:p>
        </w:tc>
        <w:tc>
          <w:tcPr>
            <w:tcW w:w="1374" w:type="dxa"/>
            <w:tcBorders>
              <w:top w:val="nil"/>
            </w:tcBorders>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2,02</w:t>
            </w:r>
          </w:p>
        </w:tc>
        <w:tc>
          <w:tcPr>
            <w:tcW w:w="1345" w:type="dxa"/>
            <w:tcBorders>
              <w:top w:val="nil"/>
            </w:tcBorders>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2,01</w:t>
            </w:r>
          </w:p>
        </w:tc>
        <w:tc>
          <w:tcPr>
            <w:tcW w:w="1254" w:type="dxa"/>
            <w:tcBorders>
              <w:top w:val="nil"/>
            </w:tcBorders>
          </w:tcPr>
          <w:p w:rsidR="00E50790" w:rsidRPr="00BC41B0" w:rsidRDefault="00983C19" w:rsidP="00983C19">
            <w:pPr>
              <w:jc w:val="center"/>
              <w:rPr>
                <w:rFonts w:ascii="Times New Roman" w:hAnsi="Times New Roman" w:cs="Times New Roman"/>
                <w:bCs/>
                <w:sz w:val="16"/>
                <w:szCs w:val="16"/>
              </w:rPr>
            </w:pPr>
            <w:r w:rsidRPr="00BC41B0">
              <w:rPr>
                <w:rFonts w:ascii="Times New Roman" w:hAnsi="Times New Roman" w:cs="Times New Roman"/>
                <w:bCs/>
                <w:sz w:val="16"/>
                <w:szCs w:val="16"/>
              </w:rPr>
              <w:t>2,01</w:t>
            </w:r>
          </w:p>
        </w:tc>
      </w:tr>
      <w:tr w:rsidR="006817BE" w:rsidRPr="006817BE" w:rsidTr="00A90535">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 xml:space="preserve">3. Подобряване състоянието на съществуващия жилищен сграден фонд </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Бр. обновени жилища.</w:t>
            </w:r>
          </w:p>
        </w:tc>
        <w:tc>
          <w:tcPr>
            <w:tcW w:w="1374"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143 961</w:t>
            </w:r>
          </w:p>
        </w:tc>
        <w:tc>
          <w:tcPr>
            <w:tcW w:w="1345" w:type="dxa"/>
          </w:tcPr>
          <w:p w:rsidR="006817BE" w:rsidRPr="00BC41B0" w:rsidRDefault="006817BE" w:rsidP="006817BE">
            <w:pPr>
              <w:rPr>
                <w:rFonts w:ascii="Times New Roman" w:hAnsi="Times New Roman" w:cs="Times New Roman"/>
                <w:b/>
                <w:bCs/>
                <w:sz w:val="16"/>
                <w:szCs w:val="16"/>
              </w:rPr>
            </w:pP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A90535">
        <w:trPr>
          <w:trHeight w:val="196"/>
        </w:trPr>
        <w:tc>
          <w:tcPr>
            <w:tcW w:w="4229" w:type="dxa"/>
            <w:shd w:val="clear" w:color="auto" w:fill="auto"/>
          </w:tcPr>
          <w:p w:rsidR="006817BE" w:rsidRPr="00BC41B0" w:rsidRDefault="006817BE" w:rsidP="006817BE">
            <w:pPr>
              <w:tabs>
                <w:tab w:val="left" w:pos="270"/>
              </w:tabs>
              <w:jc w:val="both"/>
              <w:rPr>
                <w:rFonts w:ascii="Times New Roman" w:hAnsi="Times New Roman" w:cs="Times New Roman"/>
                <w:sz w:val="16"/>
                <w:szCs w:val="16"/>
              </w:rPr>
            </w:pPr>
            <w:r w:rsidRPr="00BC41B0">
              <w:rPr>
                <w:rFonts w:ascii="Times New Roman" w:hAnsi="Times New Roman" w:cs="Times New Roman"/>
                <w:sz w:val="16"/>
                <w:szCs w:val="16"/>
              </w:rPr>
              <w:t>4.Облагодетелстване на обитателите от подобрената жилищна инфраструктура</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Бр. обитатели</w:t>
            </w:r>
          </w:p>
        </w:tc>
        <w:tc>
          <w:tcPr>
            <w:tcW w:w="1374"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331 943</w:t>
            </w:r>
          </w:p>
        </w:tc>
        <w:tc>
          <w:tcPr>
            <w:tcW w:w="1345" w:type="dxa"/>
          </w:tcPr>
          <w:p w:rsidR="006817BE" w:rsidRPr="00BC41B0" w:rsidRDefault="006817BE" w:rsidP="006817BE">
            <w:pPr>
              <w:rPr>
                <w:rFonts w:ascii="Times New Roman" w:hAnsi="Times New Roman" w:cs="Times New Roman"/>
                <w:b/>
                <w:bCs/>
                <w:sz w:val="16"/>
                <w:szCs w:val="16"/>
              </w:rPr>
            </w:pP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A90535">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5. Въведени в експлоатация жилищни сгради.</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 xml:space="preserve">Брой </w:t>
            </w:r>
            <w:proofErr w:type="spellStart"/>
            <w:r w:rsidRPr="00BC41B0">
              <w:rPr>
                <w:rFonts w:ascii="Times New Roman" w:hAnsi="Times New Roman" w:cs="Times New Roman"/>
                <w:sz w:val="16"/>
                <w:szCs w:val="16"/>
              </w:rPr>
              <w:t>жил</w:t>
            </w:r>
            <w:proofErr w:type="spellEnd"/>
            <w:r w:rsidRPr="00BC41B0">
              <w:rPr>
                <w:rFonts w:ascii="Times New Roman" w:hAnsi="Times New Roman" w:cs="Times New Roman"/>
                <w:sz w:val="16"/>
                <w:szCs w:val="16"/>
              </w:rPr>
              <w:t>. сгради</w:t>
            </w:r>
          </w:p>
        </w:tc>
        <w:tc>
          <w:tcPr>
            <w:tcW w:w="1374"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1970</w:t>
            </w:r>
          </w:p>
        </w:tc>
        <w:tc>
          <w:tcPr>
            <w:tcW w:w="1345" w:type="dxa"/>
          </w:tcPr>
          <w:p w:rsidR="006817BE" w:rsidRPr="00BC41B0" w:rsidRDefault="006817BE" w:rsidP="006817BE">
            <w:pPr>
              <w:jc w:val="center"/>
              <w:rPr>
                <w:rFonts w:ascii="Times New Roman" w:hAnsi="Times New Roman" w:cs="Times New Roman"/>
                <w:bCs/>
                <w:sz w:val="16"/>
                <w:szCs w:val="16"/>
              </w:rPr>
            </w:pP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FF7154">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6. Подобрена разгъната застроена площ в многофамилни жилищни сгради.</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РЗП (кв. м)</w:t>
            </w:r>
          </w:p>
        </w:tc>
        <w:tc>
          <w:tcPr>
            <w:tcW w:w="1374" w:type="dxa"/>
          </w:tcPr>
          <w:p w:rsidR="006817BE" w:rsidRPr="00BC41B0" w:rsidRDefault="006817BE" w:rsidP="006817BE">
            <w:pPr>
              <w:rPr>
                <w:rFonts w:ascii="Times New Roman" w:hAnsi="Times New Roman" w:cs="Times New Roman"/>
                <w:b/>
                <w:bCs/>
                <w:sz w:val="16"/>
                <w:szCs w:val="16"/>
              </w:rPr>
            </w:pPr>
          </w:p>
        </w:tc>
        <w:tc>
          <w:tcPr>
            <w:tcW w:w="1345"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3 688 900</w:t>
            </w: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FF7154">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7. Понижаване на потреблението на първична енергия</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proofErr w:type="spellStart"/>
            <w:r w:rsidRPr="00BC41B0">
              <w:rPr>
                <w:rFonts w:ascii="Times New Roman" w:hAnsi="Times New Roman" w:cs="Times New Roman"/>
                <w:sz w:val="16"/>
                <w:szCs w:val="16"/>
              </w:rPr>
              <w:t>GWh</w:t>
            </w:r>
            <w:proofErr w:type="spellEnd"/>
            <w:r w:rsidRPr="00BC41B0">
              <w:rPr>
                <w:rFonts w:ascii="Times New Roman" w:hAnsi="Times New Roman" w:cs="Times New Roman"/>
                <w:sz w:val="16"/>
                <w:szCs w:val="16"/>
              </w:rPr>
              <w:t>/год.</w:t>
            </w:r>
          </w:p>
        </w:tc>
        <w:tc>
          <w:tcPr>
            <w:tcW w:w="1374" w:type="dxa"/>
          </w:tcPr>
          <w:p w:rsidR="006817BE" w:rsidRPr="00BC41B0" w:rsidRDefault="006817BE" w:rsidP="006817BE">
            <w:pPr>
              <w:rPr>
                <w:rFonts w:ascii="Times New Roman" w:hAnsi="Times New Roman" w:cs="Times New Roman"/>
                <w:b/>
                <w:bCs/>
                <w:sz w:val="16"/>
                <w:szCs w:val="16"/>
              </w:rPr>
            </w:pPr>
          </w:p>
        </w:tc>
        <w:tc>
          <w:tcPr>
            <w:tcW w:w="1345"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405</w:t>
            </w: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FF7154">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8. Намаляване на емисиите на парникови газове.</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proofErr w:type="spellStart"/>
            <w:r w:rsidRPr="00BC41B0">
              <w:rPr>
                <w:rFonts w:ascii="Times New Roman" w:hAnsi="Times New Roman" w:cs="Times New Roman"/>
                <w:sz w:val="16"/>
                <w:szCs w:val="16"/>
              </w:rPr>
              <w:t>кТ</w:t>
            </w:r>
            <w:proofErr w:type="spellEnd"/>
            <w:r w:rsidRPr="00BC41B0">
              <w:rPr>
                <w:rFonts w:ascii="Times New Roman" w:hAnsi="Times New Roman" w:cs="Times New Roman"/>
                <w:sz w:val="16"/>
                <w:szCs w:val="16"/>
              </w:rPr>
              <w:t xml:space="preserve"> СО2</w:t>
            </w:r>
          </w:p>
        </w:tc>
        <w:tc>
          <w:tcPr>
            <w:tcW w:w="1374" w:type="dxa"/>
          </w:tcPr>
          <w:p w:rsidR="006817BE" w:rsidRPr="00BC41B0" w:rsidRDefault="006817BE" w:rsidP="006817BE">
            <w:pPr>
              <w:rPr>
                <w:rFonts w:ascii="Times New Roman" w:hAnsi="Times New Roman" w:cs="Times New Roman"/>
                <w:b/>
                <w:bCs/>
                <w:sz w:val="16"/>
                <w:szCs w:val="16"/>
              </w:rPr>
            </w:pPr>
          </w:p>
        </w:tc>
        <w:tc>
          <w:tcPr>
            <w:tcW w:w="1345"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79</w:t>
            </w: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FF7154">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9. Спестяване на първична енергия за всяка жилищна сграда</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w:t>
            </w:r>
          </w:p>
        </w:tc>
        <w:tc>
          <w:tcPr>
            <w:tcW w:w="1374" w:type="dxa"/>
          </w:tcPr>
          <w:p w:rsidR="006817BE" w:rsidRPr="00BC41B0" w:rsidRDefault="006817BE" w:rsidP="006817BE">
            <w:pPr>
              <w:rPr>
                <w:rFonts w:ascii="Times New Roman" w:hAnsi="Times New Roman" w:cs="Times New Roman"/>
                <w:b/>
                <w:bCs/>
                <w:sz w:val="16"/>
                <w:szCs w:val="16"/>
              </w:rPr>
            </w:pPr>
          </w:p>
        </w:tc>
        <w:tc>
          <w:tcPr>
            <w:tcW w:w="1345"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sz w:val="16"/>
                <w:szCs w:val="16"/>
              </w:rPr>
              <w:t>min 30%</w:t>
            </w: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FF7154">
        <w:trPr>
          <w:trHeight w:val="196"/>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10. Достигане на клас на енергопотребление</w:t>
            </w:r>
          </w:p>
        </w:tc>
        <w:tc>
          <w:tcPr>
            <w:tcW w:w="1141" w:type="dxa"/>
            <w:shd w:val="clear" w:color="auto" w:fill="auto"/>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съгл. скала</w:t>
            </w:r>
          </w:p>
        </w:tc>
        <w:tc>
          <w:tcPr>
            <w:tcW w:w="1374" w:type="dxa"/>
          </w:tcPr>
          <w:p w:rsidR="006817BE" w:rsidRPr="00BC41B0" w:rsidRDefault="006817BE" w:rsidP="006817BE">
            <w:pPr>
              <w:rPr>
                <w:rFonts w:ascii="Times New Roman" w:hAnsi="Times New Roman" w:cs="Times New Roman"/>
                <w:b/>
                <w:bCs/>
                <w:sz w:val="16"/>
                <w:szCs w:val="16"/>
              </w:rPr>
            </w:pPr>
          </w:p>
        </w:tc>
        <w:tc>
          <w:tcPr>
            <w:tcW w:w="1345" w:type="dxa"/>
          </w:tcPr>
          <w:p w:rsidR="006817BE" w:rsidRPr="00BC41B0" w:rsidRDefault="006817BE" w:rsidP="006817BE">
            <w:pPr>
              <w:jc w:val="center"/>
              <w:rPr>
                <w:rFonts w:ascii="Times New Roman" w:hAnsi="Times New Roman" w:cs="Times New Roman"/>
                <w:sz w:val="16"/>
                <w:szCs w:val="16"/>
              </w:rPr>
            </w:pPr>
            <w:r w:rsidRPr="00BC41B0">
              <w:rPr>
                <w:rFonts w:ascii="Times New Roman" w:hAnsi="Times New Roman" w:cs="Times New Roman"/>
                <w:sz w:val="16"/>
                <w:szCs w:val="16"/>
              </w:rPr>
              <w:t>min „В“</w:t>
            </w:r>
          </w:p>
        </w:tc>
        <w:tc>
          <w:tcPr>
            <w:tcW w:w="1254" w:type="dxa"/>
          </w:tcPr>
          <w:p w:rsidR="006817BE" w:rsidRPr="00BC41B0" w:rsidRDefault="006817BE" w:rsidP="006817BE">
            <w:pPr>
              <w:rPr>
                <w:rFonts w:ascii="Times New Roman" w:hAnsi="Times New Roman" w:cs="Times New Roman"/>
                <w:b/>
                <w:bCs/>
                <w:sz w:val="16"/>
                <w:szCs w:val="16"/>
              </w:rPr>
            </w:pPr>
          </w:p>
        </w:tc>
      </w:tr>
      <w:tr w:rsidR="006817BE" w:rsidRPr="006817BE" w:rsidTr="006817BE">
        <w:trPr>
          <w:trHeight w:val="262"/>
        </w:trPr>
        <w:tc>
          <w:tcPr>
            <w:tcW w:w="4229" w:type="dxa"/>
            <w:shd w:val="clear" w:color="auto" w:fill="auto"/>
          </w:tcPr>
          <w:p w:rsidR="006817BE" w:rsidRPr="00BC41B0" w:rsidRDefault="006817BE" w:rsidP="006817BE">
            <w:pPr>
              <w:jc w:val="both"/>
              <w:rPr>
                <w:rFonts w:ascii="Times New Roman" w:hAnsi="Times New Roman" w:cs="Times New Roman"/>
                <w:sz w:val="16"/>
                <w:szCs w:val="16"/>
              </w:rPr>
            </w:pPr>
            <w:r w:rsidRPr="00BC41B0">
              <w:rPr>
                <w:rFonts w:ascii="Times New Roman" w:hAnsi="Times New Roman" w:cs="Times New Roman"/>
                <w:sz w:val="16"/>
                <w:szCs w:val="16"/>
              </w:rPr>
              <w:t>11. Разработване на стратегически документ Национална жилищна стратегия</w:t>
            </w:r>
          </w:p>
        </w:tc>
        <w:tc>
          <w:tcPr>
            <w:tcW w:w="1141" w:type="dxa"/>
            <w:shd w:val="clear" w:color="auto" w:fill="F2F2F2" w:themeFill="background1" w:themeFillShade="F2"/>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Брой</w:t>
            </w:r>
          </w:p>
        </w:tc>
        <w:tc>
          <w:tcPr>
            <w:tcW w:w="1374" w:type="dxa"/>
          </w:tcPr>
          <w:p w:rsidR="006817BE" w:rsidRPr="00BC41B0" w:rsidRDefault="006817BE" w:rsidP="006817BE">
            <w:pPr>
              <w:rPr>
                <w:rFonts w:ascii="Times New Roman" w:hAnsi="Times New Roman" w:cs="Times New Roman"/>
                <w:bCs/>
                <w:sz w:val="16"/>
                <w:szCs w:val="16"/>
              </w:rPr>
            </w:pPr>
          </w:p>
        </w:tc>
        <w:tc>
          <w:tcPr>
            <w:tcW w:w="1345" w:type="dxa"/>
          </w:tcPr>
          <w:p w:rsidR="006817BE" w:rsidRPr="00BC41B0" w:rsidRDefault="006817BE" w:rsidP="006817BE">
            <w:pPr>
              <w:jc w:val="center"/>
              <w:rPr>
                <w:rFonts w:ascii="Times New Roman" w:hAnsi="Times New Roman" w:cs="Times New Roman"/>
                <w:bCs/>
                <w:sz w:val="16"/>
                <w:szCs w:val="16"/>
              </w:rPr>
            </w:pPr>
            <w:r w:rsidRPr="00BC41B0">
              <w:rPr>
                <w:rFonts w:ascii="Times New Roman" w:hAnsi="Times New Roman" w:cs="Times New Roman"/>
                <w:bCs/>
                <w:sz w:val="16"/>
                <w:szCs w:val="16"/>
              </w:rPr>
              <w:t>1</w:t>
            </w:r>
          </w:p>
        </w:tc>
        <w:tc>
          <w:tcPr>
            <w:tcW w:w="1254" w:type="dxa"/>
          </w:tcPr>
          <w:p w:rsidR="006817BE" w:rsidRPr="00BC41B0" w:rsidRDefault="006817BE" w:rsidP="006817BE">
            <w:pPr>
              <w:rPr>
                <w:rFonts w:ascii="Times New Roman" w:hAnsi="Times New Roman" w:cs="Times New Roman"/>
                <w:bCs/>
                <w:sz w:val="16"/>
                <w:szCs w:val="16"/>
              </w:rPr>
            </w:pPr>
          </w:p>
        </w:tc>
      </w:tr>
      <w:tr w:rsidR="008A558B" w:rsidRPr="006817BE" w:rsidTr="008A558B">
        <w:trPr>
          <w:trHeight w:val="262"/>
        </w:trPr>
        <w:tc>
          <w:tcPr>
            <w:tcW w:w="4229" w:type="dxa"/>
            <w:shd w:val="clear" w:color="auto" w:fill="auto"/>
          </w:tcPr>
          <w:p w:rsidR="008A558B" w:rsidRPr="00BC41B0" w:rsidRDefault="008A558B" w:rsidP="008A558B">
            <w:pPr>
              <w:jc w:val="both"/>
              <w:rPr>
                <w:rFonts w:ascii="Times New Roman" w:hAnsi="Times New Roman" w:cs="Times New Roman"/>
                <w:sz w:val="16"/>
                <w:szCs w:val="16"/>
              </w:rPr>
            </w:pPr>
            <w:r w:rsidRPr="00BC41B0">
              <w:rPr>
                <w:rFonts w:ascii="Times New Roman" w:hAnsi="Times New Roman" w:cs="Times New Roman"/>
                <w:sz w:val="16"/>
                <w:szCs w:val="16"/>
              </w:rPr>
              <w:t xml:space="preserve">12. Нарастване потенциала на АТЕ за ефективно и ефикасно планиране, управление и използване на ресурсите за устойчиво местно развитие </w:t>
            </w:r>
          </w:p>
          <w:p w:rsidR="008A558B" w:rsidRPr="00BC41B0" w:rsidRDefault="008A558B" w:rsidP="008A558B">
            <w:pPr>
              <w:jc w:val="both"/>
              <w:rPr>
                <w:rFonts w:ascii="Times New Roman" w:hAnsi="Times New Roman" w:cs="Times New Roman"/>
                <w:sz w:val="16"/>
                <w:szCs w:val="16"/>
              </w:rPr>
            </w:pPr>
            <w:r w:rsidRPr="00BC41B0">
              <w:rPr>
                <w:rFonts w:ascii="Times New Roman" w:hAnsi="Times New Roman" w:cs="Times New Roman"/>
                <w:i/>
                <w:sz w:val="16"/>
                <w:szCs w:val="16"/>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1141" w:type="dxa"/>
            <w:shd w:val="clear" w:color="auto" w:fill="F2F2F2" w:themeFill="background1" w:themeFillShade="F2"/>
            <w:vAlign w:val="center"/>
          </w:tcPr>
          <w:p w:rsidR="008A558B" w:rsidRPr="00BC41B0" w:rsidRDefault="008A558B" w:rsidP="008A558B">
            <w:pPr>
              <w:jc w:val="center"/>
              <w:rPr>
                <w:rFonts w:ascii="Times New Roman" w:hAnsi="Times New Roman" w:cs="Times New Roman"/>
                <w:bCs/>
                <w:sz w:val="16"/>
                <w:szCs w:val="16"/>
              </w:rPr>
            </w:pPr>
            <w:r w:rsidRPr="00BC41B0">
              <w:rPr>
                <w:rFonts w:ascii="Times New Roman" w:hAnsi="Times New Roman" w:cs="Times New Roman"/>
                <w:sz w:val="16"/>
                <w:szCs w:val="16"/>
              </w:rPr>
              <w:t>%</w:t>
            </w:r>
          </w:p>
        </w:tc>
        <w:tc>
          <w:tcPr>
            <w:tcW w:w="1374" w:type="dxa"/>
            <w:vAlign w:val="center"/>
          </w:tcPr>
          <w:p w:rsidR="008A558B" w:rsidRPr="00BC41B0" w:rsidRDefault="008A558B" w:rsidP="008A558B">
            <w:pPr>
              <w:jc w:val="center"/>
              <w:rPr>
                <w:rFonts w:ascii="Times New Roman" w:hAnsi="Times New Roman" w:cs="Times New Roman"/>
                <w:bCs/>
                <w:sz w:val="16"/>
                <w:szCs w:val="16"/>
              </w:rPr>
            </w:pPr>
            <w:r w:rsidRPr="00BC41B0">
              <w:rPr>
                <w:rFonts w:ascii="Times New Roman" w:hAnsi="Times New Roman" w:cs="Times New Roman"/>
                <w:bCs/>
                <w:sz w:val="16"/>
                <w:szCs w:val="16"/>
              </w:rPr>
              <w:t>1,3</w:t>
            </w:r>
          </w:p>
        </w:tc>
        <w:tc>
          <w:tcPr>
            <w:tcW w:w="1345" w:type="dxa"/>
            <w:vAlign w:val="center"/>
          </w:tcPr>
          <w:p w:rsidR="008A558B" w:rsidRPr="00BC41B0" w:rsidRDefault="008A558B" w:rsidP="008A558B">
            <w:pPr>
              <w:jc w:val="center"/>
              <w:rPr>
                <w:rFonts w:ascii="Times New Roman" w:hAnsi="Times New Roman" w:cs="Times New Roman"/>
                <w:bCs/>
                <w:sz w:val="16"/>
                <w:szCs w:val="16"/>
              </w:rPr>
            </w:pPr>
            <w:r w:rsidRPr="00BC41B0">
              <w:rPr>
                <w:rFonts w:ascii="Times New Roman" w:hAnsi="Times New Roman" w:cs="Times New Roman"/>
                <w:bCs/>
                <w:sz w:val="16"/>
                <w:szCs w:val="16"/>
              </w:rPr>
              <w:t>1,4</w:t>
            </w:r>
          </w:p>
        </w:tc>
        <w:tc>
          <w:tcPr>
            <w:tcW w:w="1254" w:type="dxa"/>
            <w:vAlign w:val="center"/>
          </w:tcPr>
          <w:p w:rsidR="008A558B" w:rsidRPr="00BC41B0" w:rsidRDefault="008A558B" w:rsidP="008A558B">
            <w:pPr>
              <w:jc w:val="center"/>
              <w:rPr>
                <w:rFonts w:ascii="Times New Roman" w:hAnsi="Times New Roman" w:cs="Times New Roman"/>
                <w:bCs/>
                <w:sz w:val="16"/>
                <w:szCs w:val="16"/>
              </w:rPr>
            </w:pPr>
            <w:r w:rsidRPr="00BC41B0">
              <w:rPr>
                <w:rFonts w:ascii="Times New Roman" w:hAnsi="Times New Roman" w:cs="Times New Roman"/>
                <w:bCs/>
                <w:sz w:val="16"/>
                <w:szCs w:val="16"/>
              </w:rPr>
              <w:t>1,5</w:t>
            </w:r>
          </w:p>
        </w:tc>
      </w:tr>
    </w:tbl>
    <w:p w:rsidR="00073599" w:rsidRPr="00862553" w:rsidRDefault="00073599" w:rsidP="00431DD5">
      <w:pPr>
        <w:spacing w:after="120"/>
        <w:jc w:val="both"/>
        <w:rPr>
          <w:rFonts w:ascii="Times New Roman" w:hAnsi="Times New Roman" w:cs="Times New Roman"/>
          <w:b/>
          <w:i/>
          <w:sz w:val="20"/>
          <w:szCs w:val="20"/>
          <w:u w:val="single"/>
        </w:rPr>
      </w:pPr>
    </w:p>
    <w:p w:rsidR="00983C19" w:rsidRPr="00BC41B0" w:rsidRDefault="00983C19" w:rsidP="00AB0CB7">
      <w:pPr>
        <w:spacing w:after="0" w:line="240" w:lineRule="auto"/>
        <w:ind w:firstLine="567"/>
        <w:jc w:val="both"/>
        <w:rPr>
          <w:rFonts w:ascii="Times New Roman" w:hAnsi="Times New Roman" w:cs="Times New Roman"/>
          <w:b/>
        </w:rPr>
      </w:pPr>
      <w:r w:rsidRPr="00BC41B0">
        <w:rPr>
          <w:rFonts w:ascii="Times New Roman" w:eastAsia="Calibri" w:hAnsi="Times New Roman" w:cs="Times New Roman"/>
        </w:rPr>
        <w:t xml:space="preserve">МРРБ е определено за водещо ведомство по разработването и изпълнението на  Приоритет 9 „Местно развитие“ от </w:t>
      </w:r>
      <w:r w:rsidRPr="00BC41B0">
        <w:rPr>
          <w:rFonts w:ascii="Times New Roman" w:eastAsia="Times New Roman" w:hAnsi="Times New Roman" w:cs="Times New Roman"/>
          <w:lang w:eastAsia="bg-BG"/>
        </w:rPr>
        <w:t xml:space="preserve"> </w:t>
      </w:r>
      <w:r w:rsidRPr="00BC41B0">
        <w:rPr>
          <w:rFonts w:ascii="Times New Roman" w:eastAsia="Calibri" w:hAnsi="Times New Roman" w:cs="Times New Roman"/>
        </w:rPr>
        <w:t>Националната програма за развитие: БЪЛГАРИЯ 2030</w:t>
      </w:r>
      <w:r w:rsidRPr="00BC41B0">
        <w:rPr>
          <w:rFonts w:ascii="Times New Roman" w:eastAsia="Calibri" w:hAnsi="Times New Roman" w:cs="Times New Roman"/>
          <w:lang w:val="en-US"/>
        </w:rPr>
        <w:t>)</w:t>
      </w:r>
      <w:r w:rsidRPr="00BC41B0">
        <w:rPr>
          <w:rFonts w:ascii="Times New Roman" w:eastAsia="Calibri" w:hAnsi="Times New Roman" w:cs="Times New Roman"/>
        </w:rPr>
        <w:t xml:space="preserve">, съгласно приложение №2 на  Решение № 33 на Министерския съвет от 20.01.2020 г. Ключовите </w:t>
      </w:r>
      <w:r w:rsidRPr="00BC41B0">
        <w:rPr>
          <w:rFonts w:ascii="Times New Roman" w:eastAsia="Calibri" w:hAnsi="Times New Roman" w:cs="Times New Roman"/>
        </w:rPr>
        <w:lastRenderedPageBreak/>
        <w:t>индикатори и целеви стойности, които се изпълняват в областта на политиката отговарят на целта на приоритета, а именно оползотворяването на идентифицирания местен потенциал за развитие, както и адресиране на местните проблеми и предизвикателства и не е необходимо да бъдат актуализирани.</w:t>
      </w:r>
    </w:p>
    <w:p w:rsidR="00983C19" w:rsidRPr="00BC41B0" w:rsidRDefault="002078BF" w:rsidP="00AB0CB7">
      <w:pPr>
        <w:pStyle w:val="ListParagraph"/>
        <w:numPr>
          <w:ilvl w:val="0"/>
          <w:numId w:val="10"/>
        </w:numPr>
        <w:tabs>
          <w:tab w:val="left" w:pos="851"/>
        </w:tabs>
        <w:spacing w:after="0" w:line="240" w:lineRule="auto"/>
        <w:ind w:left="0" w:firstLine="567"/>
        <w:jc w:val="both"/>
        <w:rPr>
          <w:rFonts w:ascii="Times New Roman" w:eastAsia="Calibri" w:hAnsi="Times New Roman" w:cs="Times New Roman"/>
        </w:rPr>
      </w:pPr>
      <w:r w:rsidRPr="00BC41B0">
        <w:rPr>
          <w:rFonts w:ascii="Times New Roman" w:eastAsia="Calibri" w:hAnsi="Times New Roman" w:cs="Times New Roman"/>
          <w:b/>
          <w:i/>
        </w:rPr>
        <w:t>Индикатор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00983C19" w:rsidRPr="00BC41B0">
        <w:rPr>
          <w:rFonts w:ascii="Times New Roman" w:eastAsia="Calibri" w:hAnsi="Times New Roman" w:cs="Times New Roman"/>
        </w:rPr>
        <w:t xml:space="preserve">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983C19" w:rsidRPr="00BC41B0">
        <w:rPr>
          <w:rFonts w:ascii="Times New Roman" w:eastAsia="Calibri" w:hAnsi="Times New Roman" w:cs="Times New Roman"/>
          <w:lang w:val="en-US"/>
        </w:rPr>
        <w:t xml:space="preserve"> </w:t>
      </w:r>
      <w:r w:rsidR="00983C19" w:rsidRPr="00BC41B0">
        <w:rPr>
          <w:rFonts w:ascii="Times New Roman" w:eastAsia="Calibri" w:hAnsi="Times New Roman" w:cs="Times New Roman"/>
        </w:rPr>
        <w:t>Заложените дейности за по изпълнението на Пътната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00983C19" w:rsidRPr="00BC41B0">
        <w:rPr>
          <w:rFonts w:ascii="Times New Roman" w:eastAsia="Calibri" w:hAnsi="Times New Roman" w:cs="Times New Roman"/>
          <w:lang w:val="en-US"/>
        </w:rPr>
        <w:t xml:space="preserve"> </w:t>
      </w:r>
      <w:r w:rsidR="00983C19" w:rsidRPr="00BC41B0">
        <w:rPr>
          <w:rFonts w:ascii="Times New Roman" w:eastAsia="Calibri" w:hAnsi="Times New Roman" w:cs="Times New Roman"/>
        </w:rPr>
        <w:t>са изпълнени. Предвижда се дейностите да бъдат финализирани през 2025 г., като предстои разработването на нова Пътна карта с хоризонт на изпълнение 2030 г. Индикаторът отчита изпълнението на всички посочени стратегически и операт</w:t>
      </w:r>
      <w:r w:rsidR="000C4721" w:rsidRPr="00BC41B0">
        <w:rPr>
          <w:rFonts w:ascii="Times New Roman" w:eastAsia="Calibri" w:hAnsi="Times New Roman" w:cs="Times New Roman"/>
        </w:rPr>
        <w:t>ивни цели, посочени в документа;</w:t>
      </w:r>
    </w:p>
    <w:p w:rsidR="00983C19" w:rsidRPr="00BC41B0" w:rsidRDefault="002078BF" w:rsidP="00AB0CB7">
      <w:pPr>
        <w:pStyle w:val="ListParagraph"/>
        <w:numPr>
          <w:ilvl w:val="0"/>
          <w:numId w:val="10"/>
        </w:numPr>
        <w:tabs>
          <w:tab w:val="left" w:pos="851"/>
        </w:tabs>
        <w:spacing w:after="0" w:line="240" w:lineRule="auto"/>
        <w:ind w:left="0" w:firstLine="567"/>
        <w:jc w:val="both"/>
        <w:rPr>
          <w:rFonts w:ascii="Times New Roman" w:eastAsia="Calibri" w:hAnsi="Times New Roman" w:cs="Times New Roman"/>
        </w:rPr>
      </w:pPr>
      <w:r w:rsidRPr="00BC41B0">
        <w:rPr>
          <w:rFonts w:ascii="Times New Roman" w:eastAsia="Calibri" w:hAnsi="Times New Roman" w:cs="Times New Roman"/>
          <w:b/>
          <w:i/>
        </w:rPr>
        <w:t>Индикатор „</w:t>
      </w:r>
      <w:r w:rsidR="00983C19" w:rsidRPr="00BC41B0">
        <w:rPr>
          <w:rFonts w:ascii="Times New Roman" w:eastAsia="Calibri" w:hAnsi="Times New Roman" w:cs="Times New Roman"/>
          <w:b/>
          <w:i/>
        </w:rPr>
        <w:t xml:space="preserve"> </w:t>
      </w:r>
      <w:r w:rsidRPr="00BC41B0">
        <w:rPr>
          <w:rFonts w:ascii="Times New Roman" w:eastAsia="Calibri" w:hAnsi="Times New Roman" w:cs="Times New Roman"/>
          <w:b/>
          <w:i/>
        </w:rPr>
        <w:t>Намаляване на дела на мигриралото население (вътрешна миграция)“</w:t>
      </w:r>
      <w:r w:rsidRPr="00BC41B0">
        <w:rPr>
          <w:rFonts w:ascii="Times New Roman" w:eastAsia="Calibri" w:hAnsi="Times New Roman" w:cs="Times New Roman"/>
        </w:rPr>
        <w:t xml:space="preserve"> </w:t>
      </w:r>
      <w:r w:rsidR="00983C19" w:rsidRPr="00BC41B0">
        <w:rPr>
          <w:rFonts w:ascii="Times New Roman" w:eastAsia="Calibri" w:hAnsi="Times New Roman" w:cs="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се създават условия за задържане на населението в градовете/областите. Същевременно формулировката на </w:t>
      </w:r>
      <w:r w:rsidR="00BC4113" w:rsidRPr="00BC41B0">
        <w:rPr>
          <w:rFonts w:ascii="Times New Roman" w:eastAsia="Calibri" w:hAnsi="Times New Roman" w:cs="Times New Roman"/>
        </w:rPr>
        <w:t>индикатора</w:t>
      </w:r>
      <w:r w:rsidR="00983C19" w:rsidRPr="00BC41B0">
        <w:rPr>
          <w:rFonts w:ascii="Times New Roman" w:eastAsia="Calibri" w:hAnsi="Times New Roman" w:cs="Times New Roman"/>
        </w:rPr>
        <w:t xml:space="preserve">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предвидена да се проведе през периода 2021-2022 г.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rsidR="00983C19" w:rsidRPr="00BC41B0" w:rsidRDefault="002078BF" w:rsidP="00AB0CB7">
      <w:pPr>
        <w:spacing w:after="0" w:line="240" w:lineRule="auto"/>
        <w:ind w:firstLine="567"/>
        <w:jc w:val="both"/>
        <w:rPr>
          <w:rFonts w:ascii="Times New Roman" w:eastAsia="Calibri" w:hAnsi="Times New Roman" w:cs="Times New Roman"/>
        </w:rPr>
      </w:pPr>
      <w:r w:rsidRPr="00BC41B0">
        <w:rPr>
          <w:rFonts w:ascii="Times New Roman" w:eastAsia="Calibri" w:hAnsi="Times New Roman" w:cs="Times New Roman"/>
        </w:rPr>
        <w:t>Двата индикатора</w:t>
      </w:r>
      <w:r w:rsidR="00983C19" w:rsidRPr="00BC41B0">
        <w:rPr>
          <w:rFonts w:ascii="Times New Roman" w:eastAsia="Calibri" w:hAnsi="Times New Roman" w:cs="Times New Roman"/>
        </w:rPr>
        <w:t xml:space="preserve"> отчитат изпълнението на всички посочени стратегически и оперативни цели, посочени в документа.</w:t>
      </w:r>
    </w:p>
    <w:p w:rsidR="002078BF" w:rsidRPr="00BC41B0" w:rsidRDefault="002078BF" w:rsidP="00AB0CB7">
      <w:pPr>
        <w:pStyle w:val="ListParagraph"/>
        <w:numPr>
          <w:ilvl w:val="0"/>
          <w:numId w:val="10"/>
        </w:numPr>
        <w:tabs>
          <w:tab w:val="left" w:pos="851"/>
        </w:tabs>
        <w:spacing w:after="0" w:line="240" w:lineRule="auto"/>
        <w:ind w:left="0" w:firstLine="567"/>
        <w:jc w:val="both"/>
        <w:rPr>
          <w:rFonts w:ascii="Times New Roman" w:eastAsia="Calibri" w:hAnsi="Times New Roman" w:cs="Times New Roman"/>
        </w:rPr>
      </w:pPr>
      <w:r w:rsidRPr="00BC41B0">
        <w:rPr>
          <w:rFonts w:ascii="Times New Roman" w:eastAsia="Calibri" w:hAnsi="Times New Roman" w:cs="Times New Roman"/>
          <w:b/>
          <w:i/>
        </w:rPr>
        <w:t>Индикатори</w:t>
      </w:r>
      <w:r w:rsidR="00EB429C" w:rsidRPr="00BC41B0">
        <w:rPr>
          <w:rFonts w:ascii="Times New Roman" w:eastAsia="Calibri" w:hAnsi="Times New Roman" w:cs="Times New Roman"/>
          <w:b/>
          <w:i/>
        </w:rPr>
        <w:t xml:space="preserve">те, имащи отношение към изпълняваната от МРРБ жилищна политика </w:t>
      </w:r>
      <w:r w:rsidR="00EB429C" w:rsidRPr="00BC41B0">
        <w:rPr>
          <w:rFonts w:ascii="Times New Roman" w:eastAsia="Calibri" w:hAnsi="Times New Roman" w:cs="Times New Roman"/>
          <w:lang w:val="en-US"/>
        </w:rPr>
        <w:t>(</w:t>
      </w:r>
      <w:r w:rsidRPr="00BC41B0">
        <w:rPr>
          <w:rFonts w:ascii="Times New Roman" w:eastAsia="Calibri" w:hAnsi="Times New Roman" w:cs="Times New Roman"/>
        </w:rPr>
        <w:t>от № 3 до № 11</w:t>
      </w:r>
      <w:r w:rsidR="00EB429C" w:rsidRPr="00BC41B0">
        <w:rPr>
          <w:rFonts w:ascii="Times New Roman" w:eastAsia="Calibri" w:hAnsi="Times New Roman" w:cs="Times New Roman"/>
          <w:lang w:val="en-US"/>
        </w:rPr>
        <w:t>)</w:t>
      </w:r>
      <w:r w:rsidRPr="00BC41B0">
        <w:rPr>
          <w:rFonts w:ascii="Times New Roman" w:eastAsia="Calibri" w:hAnsi="Times New Roman" w:cs="Times New Roman"/>
        </w:rPr>
        <w:t>, измерват следните стратегически и оперативни цели:</w:t>
      </w:r>
    </w:p>
    <w:p w:rsidR="002078BF" w:rsidRPr="00BC41B0" w:rsidRDefault="002078BF" w:rsidP="00AB0CB7">
      <w:pPr>
        <w:pStyle w:val="ListParagraph"/>
        <w:numPr>
          <w:ilvl w:val="0"/>
          <w:numId w:val="9"/>
        </w:numPr>
        <w:spacing w:after="0" w:line="240" w:lineRule="auto"/>
        <w:ind w:left="0" w:firstLine="567"/>
        <w:jc w:val="both"/>
        <w:rPr>
          <w:rFonts w:ascii="Times New Roman" w:hAnsi="Times New Roman" w:cs="Times New Roman"/>
        </w:rPr>
      </w:pPr>
      <w:r w:rsidRPr="00BC41B0">
        <w:rPr>
          <w:rFonts w:ascii="Times New Roman" w:hAnsi="Times New Roman" w:cs="Times New Roman"/>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rsidR="002078BF" w:rsidRPr="00BC41B0" w:rsidRDefault="002078BF" w:rsidP="00AB0CB7">
      <w:pPr>
        <w:pStyle w:val="ListParagraph"/>
        <w:numPr>
          <w:ilvl w:val="0"/>
          <w:numId w:val="9"/>
        </w:numPr>
        <w:spacing w:after="0" w:line="240" w:lineRule="auto"/>
        <w:ind w:left="0" w:firstLine="567"/>
        <w:jc w:val="both"/>
        <w:rPr>
          <w:rFonts w:ascii="Times New Roman" w:hAnsi="Times New Roman" w:cs="Times New Roman"/>
        </w:rPr>
      </w:pPr>
      <w:r w:rsidRPr="00BC41B0">
        <w:rPr>
          <w:rFonts w:ascii="Times New Roman" w:hAnsi="Times New Roman" w:cs="Times New Roman"/>
        </w:rPr>
        <w:t>Разработване на нов работещ модел на българската жилищна система, в който да бъде намерено трайно решение на основните й проблеми;</w:t>
      </w:r>
    </w:p>
    <w:p w:rsidR="002078BF" w:rsidRPr="00BC41B0" w:rsidRDefault="002078BF" w:rsidP="00AB0CB7">
      <w:pPr>
        <w:pStyle w:val="ListParagraph"/>
        <w:numPr>
          <w:ilvl w:val="0"/>
          <w:numId w:val="9"/>
        </w:numPr>
        <w:spacing w:after="0" w:line="240" w:lineRule="auto"/>
        <w:ind w:left="0" w:firstLine="567"/>
        <w:jc w:val="both"/>
        <w:rPr>
          <w:rFonts w:ascii="Times New Roman" w:hAnsi="Times New Roman" w:cs="Times New Roman"/>
        </w:rPr>
      </w:pPr>
      <w:r w:rsidRPr="00BC41B0">
        <w:rPr>
          <w:rFonts w:ascii="Times New Roman" w:hAnsi="Times New Roman" w:cs="Times New Roman"/>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енергия в обновените жилищни сгради.</w:t>
      </w:r>
    </w:p>
    <w:p w:rsidR="000C4721" w:rsidRPr="00BC41B0" w:rsidRDefault="000C4721" w:rsidP="00AB0CB7">
      <w:pPr>
        <w:pStyle w:val="ListParagraph"/>
        <w:numPr>
          <w:ilvl w:val="0"/>
          <w:numId w:val="10"/>
        </w:numPr>
        <w:tabs>
          <w:tab w:val="left" w:pos="851"/>
        </w:tabs>
        <w:spacing w:line="240" w:lineRule="auto"/>
        <w:ind w:left="0" w:firstLine="567"/>
        <w:jc w:val="both"/>
        <w:rPr>
          <w:rFonts w:ascii="Times New Roman" w:hAnsi="Times New Roman" w:cs="Times New Roman"/>
          <w:i/>
        </w:rPr>
      </w:pPr>
      <w:r w:rsidRPr="00BC41B0">
        <w:rPr>
          <w:rFonts w:ascii="Times New Roman" w:eastAsia="Calibri" w:hAnsi="Times New Roman" w:cs="Times New Roman"/>
          <w:b/>
          <w:i/>
        </w:rPr>
        <w:t>Индикатор „</w:t>
      </w:r>
      <w:r w:rsidRPr="00BC41B0">
        <w:rPr>
          <w:rFonts w:ascii="Times New Roman" w:hAnsi="Times New Roman" w:cs="Times New Roman"/>
          <w:b/>
          <w:i/>
        </w:rPr>
        <w:t>Нарастване потенциала на АТЕ за ефективно и ефикасно планиране, управление и използване на ресурсите за устойчиво местно развитие“</w:t>
      </w:r>
      <w:r w:rsidR="007F77AD" w:rsidRPr="00BC41B0">
        <w:rPr>
          <w:rFonts w:ascii="Times New Roman" w:hAnsi="Times New Roman" w:cs="Times New Roman"/>
        </w:rPr>
        <w:t xml:space="preserve"> </w:t>
      </w:r>
      <w:r w:rsidR="00EB429C" w:rsidRPr="00BC41B0">
        <w:rPr>
          <w:rFonts w:ascii="Times New Roman" w:hAnsi="Times New Roman" w:cs="Times New Roman"/>
        </w:rPr>
        <w:t xml:space="preserve"> </w:t>
      </w:r>
      <w:r w:rsidR="007F77AD" w:rsidRPr="00BC41B0">
        <w:rPr>
          <w:rFonts w:ascii="Times New Roman" w:hAnsi="Times New Roman" w:cs="Times New Roman"/>
        </w:rPr>
        <w:t>измерва стратегическа цел „Създаване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p>
    <w:p w:rsidR="00983C19" w:rsidRPr="00DE4284" w:rsidRDefault="00983C19" w:rsidP="00983C19">
      <w:pPr>
        <w:spacing w:after="0" w:line="240" w:lineRule="auto"/>
        <w:ind w:firstLine="567"/>
        <w:jc w:val="both"/>
        <w:rPr>
          <w:rFonts w:ascii="Times New Roman" w:eastAsia="Calibri" w:hAnsi="Times New Roman" w:cs="Times New Roman"/>
          <w:b/>
          <w:i/>
          <w:color w:val="0000CC"/>
        </w:rPr>
      </w:pPr>
      <w:r w:rsidRPr="00BC41B0">
        <w:rPr>
          <w:rFonts w:ascii="Times New Roman" w:eastAsia="Calibri" w:hAnsi="Times New Roman" w:cs="Times New Roman"/>
          <w:b/>
          <w:i/>
          <w:color w:val="0000CC"/>
        </w:rPr>
        <w:t>2100.02.00 ПОЛИТИКА ЗА ПОДОБРЯВАНЕ НА ИНВЕСТИЦИОННИЯ ПРОЦЕС, ПОДДЪРЖАНЕ,</w:t>
      </w:r>
      <w:r w:rsidRPr="00BC41B0">
        <w:rPr>
          <w:rFonts w:ascii="Times New Roman" w:eastAsia="Calibri" w:hAnsi="Times New Roman" w:cs="Times New Roman"/>
          <w:b/>
          <w:i/>
          <w:color w:val="0000CC"/>
          <w:lang w:val="en-US"/>
        </w:rPr>
        <w:t xml:space="preserve"> </w:t>
      </w:r>
      <w:r w:rsidRPr="00BC41B0">
        <w:rPr>
          <w:rFonts w:ascii="Times New Roman" w:eastAsia="Calibri" w:hAnsi="Times New Roman" w:cs="Times New Roman"/>
          <w:b/>
          <w:i/>
          <w:color w:val="0000CC"/>
        </w:rPr>
        <w:t>МОДЕРНИЗАЦИЯ И ИЗГРАЖДАНЕ НА ТЕХНИЧЕСКАТА ИНФРАСТРУКТУРА</w:t>
      </w:r>
    </w:p>
    <w:p w:rsidR="00983C19" w:rsidRPr="00713AD5" w:rsidRDefault="00983C19" w:rsidP="006D5208">
      <w:pPr>
        <w:spacing w:before="120" w:after="120"/>
        <w:ind w:firstLine="567"/>
        <w:jc w:val="both"/>
        <w:rPr>
          <w:rFonts w:ascii="Times New Roman" w:hAnsi="Times New Roman" w:cs="Times New Roman"/>
          <w:b/>
          <w:i/>
          <w:color w:val="0000CC"/>
        </w:rPr>
      </w:pPr>
      <w:r w:rsidRPr="00713AD5">
        <w:rPr>
          <w:rFonts w:ascii="Times New Roman" w:hAnsi="Times New Roman" w:cs="Times New Roman"/>
          <w:b/>
          <w:i/>
          <w:color w:val="0000CC"/>
        </w:rPr>
        <w:lastRenderedPageBreak/>
        <w:t>Кратко описание на обхвата на областта на политиката, за която ПРБ отговаря</w:t>
      </w:r>
    </w:p>
    <w:p w:rsidR="007C3069" w:rsidRPr="00BC41B0" w:rsidRDefault="007C3069" w:rsidP="006D5208">
      <w:pPr>
        <w:pStyle w:val="ListParagraph"/>
        <w:spacing w:after="0" w:line="240" w:lineRule="auto"/>
        <w:ind w:left="0" w:firstLine="567"/>
        <w:jc w:val="both"/>
        <w:rPr>
          <w:rFonts w:ascii="Times New Roman" w:hAnsi="Times New Roman" w:cs="Times New Roman"/>
          <w:b/>
          <w:i/>
        </w:rPr>
      </w:pPr>
      <w:r w:rsidRPr="00BC41B0">
        <w:rPr>
          <w:rFonts w:ascii="Times New Roman" w:hAnsi="Times New Roman" w:cs="Times New Roman"/>
          <w:b/>
          <w:i/>
        </w:rPr>
        <w:t>По отношение на Агенция „Пътна инфраструктура“</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hAnsi="Times New Roman" w:cs="Times New Roman"/>
        </w:rPr>
        <w:t xml:space="preserve">Визията за развитието на </w:t>
      </w:r>
      <w:r w:rsidRPr="00BC41B0">
        <w:rPr>
          <w:rFonts w:ascii="Times New Roman" w:eastAsia="SimSun" w:hAnsi="Times New Roman" w:cs="Times New Roman"/>
        </w:rPr>
        <w:t>изпълняваната от АПИ политика</w:t>
      </w:r>
      <w:r w:rsidRPr="00BC41B0">
        <w:rPr>
          <w:rFonts w:ascii="Times New Roman" w:hAnsi="Times New Roman" w:cs="Times New Roman"/>
        </w:rPr>
        <w:t xml:space="preserve"> е тясно обвързана с водещите приоритети, </w:t>
      </w:r>
      <w:r w:rsidRPr="00BC41B0">
        <w:rPr>
          <w:rFonts w:ascii="Times New Roman" w:eastAsia="SimSun" w:hAnsi="Times New Roman" w:cs="Times New Roman"/>
        </w:rPr>
        <w:t>посочени в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където са описани и зададени общите срокове и критерии за развитие на основната и широкообхватна (разширената) трансевропейска транспортна мрежа.</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SimSun" w:hAnsi="Times New Roman" w:cs="Times New Roman"/>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2023-2026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6D5208" w:rsidRPr="00BC41B0" w:rsidRDefault="006D5208" w:rsidP="006D5208">
      <w:pPr>
        <w:spacing w:after="0" w:line="240" w:lineRule="auto"/>
        <w:ind w:firstLine="567"/>
        <w:jc w:val="both"/>
        <w:rPr>
          <w:rFonts w:ascii="Times New Roman" w:eastAsia="Times New Roman" w:hAnsi="Times New Roman" w:cs="Times New Roman"/>
          <w:i/>
          <w:lang w:eastAsia="bg-BG"/>
        </w:rPr>
      </w:pPr>
      <w:r w:rsidRPr="00BC41B0">
        <w:rPr>
          <w:rFonts w:ascii="Times New Roman" w:eastAsia="Times New Roman" w:hAnsi="Times New Roman" w:cs="Times New Roman"/>
          <w:i/>
          <w:lang w:eastAsia="bg-BG"/>
        </w:rPr>
        <w:t xml:space="preserve">Стратегически цели: </w:t>
      </w:r>
      <w:r w:rsidRPr="00BC41B0">
        <w:rPr>
          <w:rFonts w:ascii="Times New Roman" w:eastAsia="Times New Roman" w:hAnsi="Times New Roman" w:cs="Times New Roman"/>
          <w:i/>
          <w:lang w:eastAsia="bg-BG"/>
        </w:rPr>
        <w:tab/>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Развитие на устойчива пътна инфраструктура;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Интеграция на пътната инфраструктура в Европейската транспортна мрежа;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Подобряване на безопасността на пътната инфраструктура;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Ефективно управление на пътния сектор.</w:t>
      </w:r>
    </w:p>
    <w:p w:rsidR="006D5208" w:rsidRPr="00BC41B0" w:rsidRDefault="006D5208" w:rsidP="006D5208">
      <w:pPr>
        <w:spacing w:after="0" w:line="240" w:lineRule="auto"/>
        <w:ind w:firstLine="567"/>
        <w:jc w:val="both"/>
        <w:rPr>
          <w:rFonts w:ascii="Times New Roman" w:eastAsia="Times New Roman" w:hAnsi="Times New Roman" w:cs="Times New Roman"/>
          <w:i/>
          <w:lang w:eastAsia="bg-BG"/>
        </w:rPr>
      </w:pPr>
      <w:r w:rsidRPr="00BC41B0">
        <w:rPr>
          <w:rFonts w:ascii="Times New Roman" w:eastAsia="Times New Roman" w:hAnsi="Times New Roman" w:cs="Times New Roman"/>
          <w:i/>
          <w:lang w:eastAsia="bg-BG"/>
        </w:rPr>
        <w:t xml:space="preserve">Оперативни цели: </w:t>
      </w:r>
      <w:r w:rsidRPr="00BC41B0">
        <w:rPr>
          <w:rFonts w:ascii="Times New Roman" w:eastAsia="Times New Roman" w:hAnsi="Times New Roman" w:cs="Times New Roman"/>
          <w:i/>
          <w:lang w:eastAsia="bg-BG"/>
        </w:rPr>
        <w:tab/>
      </w:r>
      <w:r w:rsidRPr="00BC41B0">
        <w:rPr>
          <w:rFonts w:ascii="Times New Roman" w:eastAsia="Times New Roman" w:hAnsi="Times New Roman" w:cs="Times New Roman"/>
          <w:i/>
          <w:lang w:eastAsia="bg-BG"/>
        </w:rPr>
        <w:tab/>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Привеждане на пътната инфраструктура в устойчиво състояние;</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Подобряване достъпността до периферните и слабо урбанизираните територии;</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 xml:space="preserve">Ускорено изграждане на магистралите и интеграция на националната пътна мрежа с европейската транспортна инфраструктура;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Оптимизиране финансирането на пътния сектор;</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Осигуряване съпоставимо с европейската практика високо ниво на транспортна достъпност на територията на Република България;</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 xml:space="preserve"> 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w:t>
      </w:r>
      <w:r w:rsidRPr="00BC41B0">
        <w:rPr>
          <w:rFonts w:ascii="Times New Roman" w:eastAsia="Times New Roman" w:hAnsi="Times New Roman" w:cs="Times New Roman"/>
          <w:lang w:eastAsia="bg-BG"/>
        </w:rPr>
        <w:tab/>
        <w:t>Осигуряване на добро експлоатационно състояние и ниво на безопасност на съществуващата пътна мрежа. Модернизация и обновяване.</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w:t>
      </w:r>
      <w:r w:rsidRPr="00BC41B0">
        <w:rPr>
          <w:rFonts w:ascii="Times New Roman" w:eastAsia="Times New Roman" w:hAnsi="Times New Roman" w:cs="Times New Roman"/>
          <w:lang w:eastAsia="bg-BG"/>
        </w:rPr>
        <w:lastRenderedPageBreak/>
        <w:t>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w:t>
      </w:r>
      <w:r w:rsidRPr="00BC41B0">
        <w:rPr>
          <w:rFonts w:ascii="Times New Roman" w:eastAsia="Times New Roman" w:hAnsi="Times New Roman" w:cs="Times New Roman"/>
          <w:lang w:val="en-US" w:eastAsia="bg-BG"/>
        </w:rPr>
        <w:t xml:space="preserve">. </w:t>
      </w:r>
      <w:r w:rsidRPr="00BC41B0">
        <w:rPr>
          <w:rFonts w:ascii="Times New Roman" w:eastAsia="Times New Roman" w:hAnsi="Times New Roman" w:cs="Times New Roman"/>
          <w:lang w:eastAsia="bg-BG"/>
        </w:rPr>
        <w:t>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SimSun" w:hAnsi="Times New Roman" w:cs="Times New Roman"/>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SimSun" w:hAnsi="Times New Roman" w:cs="Times New Roman"/>
        </w:rPr>
        <w:t>Завършването на АМ „Струма</w:t>
      </w:r>
      <w:r w:rsidRPr="00BC41B0">
        <w:rPr>
          <w:rFonts w:ascii="Times New Roman" w:eastAsia="Times New Roman" w:hAnsi="Times New Roman" w:cs="Times New Roman"/>
          <w:lang w:eastAsia="bg-BG"/>
        </w:rPr>
        <w:t xml:space="preserve">“,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w:t>
      </w:r>
      <w:proofErr w:type="spellStart"/>
      <w:r w:rsidRPr="00BC41B0">
        <w:rPr>
          <w:rFonts w:ascii="Times New Roman" w:eastAsia="Times New Roman" w:hAnsi="Times New Roman" w:cs="Times New Roman"/>
          <w:lang w:eastAsia="bg-BG"/>
        </w:rPr>
        <w:t>о.п</w:t>
      </w:r>
      <w:proofErr w:type="spellEnd"/>
      <w:r w:rsidRPr="00BC41B0">
        <w:rPr>
          <w:rFonts w:ascii="Times New Roman" w:eastAsia="Times New Roman" w:hAnsi="Times New Roman" w:cs="Times New Roman"/>
          <w:lang w:eastAsia="bg-BG"/>
        </w:rPr>
        <w:t xml:space="preserve">. Кюстендил - Перник и път II-62 </w:t>
      </w:r>
      <w:proofErr w:type="spellStart"/>
      <w:r w:rsidRPr="00BC41B0">
        <w:rPr>
          <w:rFonts w:ascii="Times New Roman" w:eastAsia="Times New Roman" w:hAnsi="Times New Roman" w:cs="Times New Roman"/>
          <w:lang w:eastAsia="bg-BG"/>
        </w:rPr>
        <w:t>О.п</w:t>
      </w:r>
      <w:proofErr w:type="spellEnd"/>
      <w:r w:rsidRPr="00BC41B0">
        <w:rPr>
          <w:rFonts w:ascii="Times New Roman" w:eastAsia="Times New Roman" w:hAnsi="Times New Roman" w:cs="Times New Roman"/>
          <w:lang w:eastAsia="bg-BG"/>
        </w:rPr>
        <w:t xml:space="preserve">. Кюстендил - </w:t>
      </w:r>
      <w:proofErr w:type="spellStart"/>
      <w:r w:rsidRPr="00BC41B0">
        <w:rPr>
          <w:rFonts w:ascii="Times New Roman" w:eastAsia="Times New Roman" w:hAnsi="Times New Roman" w:cs="Times New Roman"/>
          <w:lang w:eastAsia="bg-BG"/>
        </w:rPr>
        <w:t>о.п</w:t>
      </w:r>
      <w:proofErr w:type="spellEnd"/>
      <w:r w:rsidRPr="00BC41B0">
        <w:rPr>
          <w:rFonts w:ascii="Times New Roman" w:eastAsia="Times New Roman" w:hAnsi="Times New Roman" w:cs="Times New Roman"/>
          <w:lang w:eastAsia="bg-BG"/>
        </w:rPr>
        <w:t>.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BC41B0">
        <w:rPr>
          <w:rFonts w:ascii="Times New Roman" w:eastAsia="Times New Roman" w:hAnsi="Times New Roman" w:cs="Times New Roman"/>
          <w:lang w:val="en-US" w:eastAsia="bg-BG"/>
        </w:rPr>
        <w:t>II-</w:t>
      </w:r>
      <w:r w:rsidRPr="00BC41B0">
        <w:rPr>
          <w:rFonts w:ascii="Times New Roman" w:eastAsia="Times New Roman" w:hAnsi="Times New Roman" w:cs="Times New Roman"/>
          <w:lang w:eastAsia="bg-BG"/>
        </w:rPr>
        <w:t xml:space="preserve">86 Асеновград – Смолян в три участъка. </w:t>
      </w:r>
    </w:p>
    <w:p w:rsidR="006D5208" w:rsidRPr="00BC41B0" w:rsidRDefault="006D5208" w:rsidP="006D5208">
      <w:pPr>
        <w:spacing w:after="0" w:line="240" w:lineRule="auto"/>
        <w:ind w:firstLine="567"/>
        <w:jc w:val="both"/>
        <w:rPr>
          <w:rFonts w:ascii="Times New Roman" w:eastAsia="Times New Roman" w:hAnsi="Times New Roman" w:cs="Times New Roman"/>
          <w:b/>
          <w:lang w:eastAsia="bg-BG"/>
        </w:rPr>
      </w:pPr>
      <w:r w:rsidRPr="00BC41B0">
        <w:rPr>
          <w:rFonts w:ascii="Times New Roman" w:eastAsia="Times New Roman" w:hAnsi="Times New Roman" w:cs="Times New Roman"/>
          <w:b/>
          <w:lang w:eastAsia="bg-BG"/>
        </w:rPr>
        <w:t xml:space="preserve">Развитие при изграждането по вертикалните направления север-юг: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w:t>
      </w:r>
      <w:proofErr w:type="spellStart"/>
      <w:r w:rsidRPr="00BC41B0">
        <w:rPr>
          <w:rFonts w:ascii="Times New Roman" w:eastAsia="Times New Roman" w:hAnsi="Times New Roman" w:cs="Times New Roman"/>
          <w:lang w:eastAsia="bg-BG"/>
        </w:rPr>
        <w:t>Белославското</w:t>
      </w:r>
      <w:proofErr w:type="spellEnd"/>
      <w:r w:rsidRPr="00BC41B0">
        <w:rPr>
          <w:rFonts w:ascii="Times New Roman" w:eastAsia="Times New Roman" w:hAnsi="Times New Roman" w:cs="Times New Roman"/>
          <w:lang w:eastAsia="bg-BG"/>
        </w:rPr>
        <w:t xml:space="preserve"> езеро (алтернатива на Аспарухов мост) и тунелно преминаване през Стара планина. </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rsidR="006D5208" w:rsidRPr="00BC41B0" w:rsidRDefault="006D5208" w:rsidP="006D5208">
      <w:pPr>
        <w:spacing w:after="0" w:line="240" w:lineRule="auto"/>
        <w:ind w:firstLine="567"/>
        <w:jc w:val="both"/>
        <w:rPr>
          <w:rFonts w:ascii="Times New Roman" w:eastAsia="Times New Roman" w:hAnsi="Times New Roman" w:cs="Times New Roman"/>
          <w:b/>
          <w:lang w:eastAsia="bg-BG"/>
        </w:rPr>
      </w:pPr>
      <w:r w:rsidRPr="00BC41B0">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Times New Roman" w:hAnsi="Times New Roman" w:cs="Times New Roman"/>
          <w:lang w:eastAsia="bg-BG"/>
        </w:rPr>
        <w:t xml:space="preserve"> </w:t>
      </w:r>
      <w:r w:rsidRPr="00BC41B0">
        <w:rPr>
          <w:rFonts w:ascii="Times New Roman" w:eastAsia="SimSun" w:hAnsi="Times New Roman" w:cs="Times New Roman"/>
        </w:rPr>
        <w:t>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SimSun" w:hAnsi="Times New Roman" w:cs="Times New Roman"/>
        </w:rPr>
        <w:t>Развитие при проектирането и изграждането на обходни/околовръстни пътища в</w:t>
      </w:r>
      <w:r w:rsidRPr="00BC41B0">
        <w:rPr>
          <w:rFonts w:ascii="Times New Roman" w:eastAsia="SimSun" w:hAnsi="Times New Roman" w:cs="Times New Roman"/>
          <w:b/>
        </w:rPr>
        <w:t xml:space="preserve"> </w:t>
      </w:r>
      <w:r w:rsidRPr="00BC41B0">
        <w:rPr>
          <w:rFonts w:ascii="Times New Roman" w:eastAsia="SimSun" w:hAnsi="Times New Roman" w:cs="Times New Roman"/>
        </w:rPr>
        <w:t xml:space="preserve">градовете  София, Пазарджик, Пловдив, Плевен, Чепеларе, Провадия, Бургас, Петрич, Плевен, Павликени. </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Times New Roman" w:hAnsi="Times New Roman" w:cs="Times New Roman"/>
          <w:lang w:eastAsia="bg-BG"/>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w:t>
      </w:r>
      <w:r w:rsidRPr="00BC41B0">
        <w:rPr>
          <w:rFonts w:ascii="Times New Roman" w:eastAsia="SimSun" w:hAnsi="Times New Roman" w:cs="Times New Roman"/>
        </w:rPr>
        <w:t xml:space="preserve">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rsidR="006D5208" w:rsidRPr="00BC41B0" w:rsidRDefault="006D5208" w:rsidP="006D5208">
      <w:pPr>
        <w:spacing w:after="0" w:line="240" w:lineRule="auto"/>
        <w:ind w:firstLine="567"/>
        <w:jc w:val="both"/>
        <w:rPr>
          <w:rFonts w:ascii="Times New Roman" w:eastAsia="SimSun" w:hAnsi="Times New Roman" w:cs="Times New Roman"/>
        </w:rPr>
      </w:pPr>
      <w:r w:rsidRPr="00BC41B0">
        <w:rPr>
          <w:rFonts w:ascii="Times New Roman" w:eastAsia="SimSun" w:hAnsi="Times New Roman" w:cs="Times New Roman"/>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6D5208" w:rsidRPr="00BC41B0" w:rsidRDefault="006D5208" w:rsidP="006D5208">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w:t>
      </w:r>
      <w:r w:rsidRPr="00BC41B0">
        <w:rPr>
          <w:rFonts w:ascii="Times New Roman" w:hAnsi="Times New Roman" w:cs="Times New Roman"/>
        </w:rPr>
        <w:t xml:space="preserve"> През 2022 г. е актуализиран размерът на тол таксите и е определен размер за тол такси за пътища II –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7C3069" w:rsidRPr="00BC41B0" w:rsidRDefault="007C3069" w:rsidP="000343BD">
      <w:pPr>
        <w:pStyle w:val="ListParagraph"/>
        <w:spacing w:after="0" w:line="240" w:lineRule="auto"/>
        <w:ind w:left="0" w:firstLine="567"/>
        <w:jc w:val="both"/>
        <w:rPr>
          <w:rFonts w:ascii="Times New Roman" w:hAnsi="Times New Roman" w:cs="Times New Roman"/>
          <w:b/>
          <w:i/>
          <w:color w:val="000000"/>
        </w:rPr>
      </w:pPr>
      <w:r w:rsidRPr="00BC41B0">
        <w:rPr>
          <w:rFonts w:ascii="Times New Roman" w:hAnsi="Times New Roman" w:cs="Times New Roman"/>
          <w:b/>
          <w:i/>
          <w:color w:val="000000"/>
        </w:rPr>
        <w:t>По отношение на Дирекция за национален строителен контрол</w:t>
      </w:r>
    </w:p>
    <w:p w:rsidR="00CC6C21" w:rsidRPr="00BC41B0" w:rsidRDefault="00CC6C21" w:rsidP="000343BD">
      <w:pPr>
        <w:spacing w:after="0" w:line="240" w:lineRule="auto"/>
        <w:ind w:firstLine="567"/>
        <w:jc w:val="both"/>
        <w:rPr>
          <w:rFonts w:ascii="Times New Roman" w:eastAsia="Times New Roman" w:hAnsi="Times New Roman" w:cs="Times New Roman"/>
          <w:lang w:eastAsia="bg-BG"/>
        </w:rPr>
      </w:pPr>
      <w:r w:rsidRPr="00BC41B0">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CC6C21" w:rsidRPr="00BC41B0" w:rsidRDefault="00CC6C21" w:rsidP="000343BD">
      <w:pPr>
        <w:spacing w:after="0" w:line="240" w:lineRule="auto"/>
        <w:ind w:firstLine="567"/>
        <w:jc w:val="both"/>
        <w:rPr>
          <w:rFonts w:ascii="Times New Roman" w:eastAsia="Times New Roman" w:hAnsi="Times New Roman" w:cs="Times New Roman"/>
          <w:lang w:val="en-US" w:eastAsia="bg-BG"/>
        </w:rPr>
      </w:pPr>
      <w:r w:rsidRPr="00BC41B0">
        <w:rPr>
          <w:rFonts w:ascii="Times New Roman" w:eastAsia="Times New Roman" w:hAnsi="Times New Roman" w:cs="Times New Roman"/>
          <w:lang w:eastAsia="bg-BG"/>
        </w:rPr>
        <w:t>ДНСК се ръководи и представлява от началник, който провежда държавната политика в областта на националния строителен контрол,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rsidR="007C3069" w:rsidRPr="00BC41B0" w:rsidRDefault="007C3069" w:rsidP="000343BD">
      <w:pPr>
        <w:pStyle w:val="ListParagraph"/>
        <w:spacing w:after="0" w:line="240" w:lineRule="auto"/>
        <w:ind w:left="0" w:firstLine="567"/>
        <w:jc w:val="both"/>
        <w:rPr>
          <w:rFonts w:ascii="Times New Roman" w:hAnsi="Times New Roman" w:cs="Times New Roman"/>
          <w:b/>
          <w:i/>
          <w:color w:val="000000"/>
        </w:rPr>
      </w:pPr>
      <w:r w:rsidRPr="00BC41B0">
        <w:rPr>
          <w:rFonts w:ascii="Times New Roman" w:hAnsi="Times New Roman" w:cs="Times New Roman"/>
          <w:b/>
          <w:i/>
          <w:color w:val="000000"/>
        </w:rPr>
        <w:t>По отношение на Агенция по геодезия, картография и кадастър</w:t>
      </w:r>
    </w:p>
    <w:p w:rsidR="000343BD" w:rsidRPr="00BC41B0" w:rsidRDefault="000343BD" w:rsidP="00015FBE">
      <w:pPr>
        <w:spacing w:after="0" w:line="240" w:lineRule="auto"/>
        <w:ind w:firstLine="567"/>
        <w:jc w:val="both"/>
        <w:rPr>
          <w:rFonts w:ascii="Times New Roman" w:hAnsi="Times New Roman" w:cs="Times New Roman"/>
        </w:rPr>
      </w:pPr>
      <w:r w:rsidRPr="00BC41B0">
        <w:rPr>
          <w:rFonts w:ascii="Times New Roman" w:hAnsi="Times New Roman" w:cs="Times New Roman"/>
        </w:rPr>
        <w:t>Агенцията по геодезия, картография и кадастър (АГКК)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w:t>
      </w:r>
      <w:r w:rsidR="00015FBE" w:rsidRPr="00BC41B0">
        <w:rPr>
          <w:rFonts w:ascii="Times New Roman" w:hAnsi="Times New Roman" w:cs="Times New Roman"/>
        </w:rPr>
        <w:t xml:space="preserve"> </w:t>
      </w:r>
      <w:r w:rsidRPr="00BC41B0">
        <w:rPr>
          <w:rFonts w:ascii="Times New Roman" w:hAnsi="Times New Roman" w:cs="Times New Roman"/>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w:t>
      </w:r>
    </w:p>
    <w:p w:rsidR="000343BD" w:rsidRPr="00BC41B0" w:rsidRDefault="000343BD" w:rsidP="000343BD">
      <w:pPr>
        <w:pStyle w:val="NormalWeb"/>
        <w:spacing w:before="0" w:beforeAutospacing="0" w:after="0" w:afterAutospacing="0"/>
        <w:ind w:firstLine="567"/>
        <w:jc w:val="both"/>
        <w:rPr>
          <w:color w:val="auto"/>
          <w:sz w:val="22"/>
          <w:szCs w:val="22"/>
          <w:lang w:val="bg-BG"/>
        </w:rPr>
      </w:pPr>
      <w:r w:rsidRPr="00BC41B0">
        <w:rPr>
          <w:color w:val="auto"/>
          <w:sz w:val="22"/>
          <w:szCs w:val="22"/>
          <w:lang w:val="bg-BG"/>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rsidR="000343BD" w:rsidRPr="00BC41B0" w:rsidRDefault="000343BD" w:rsidP="000343BD">
      <w:pPr>
        <w:spacing w:after="0" w:line="240" w:lineRule="auto"/>
        <w:ind w:firstLine="567"/>
        <w:jc w:val="both"/>
        <w:rPr>
          <w:rFonts w:ascii="Times New Roman" w:hAnsi="Times New Roman" w:cs="Times New Roman"/>
        </w:rPr>
      </w:pPr>
      <w:r w:rsidRPr="00BC41B0">
        <w:rPr>
          <w:rFonts w:ascii="Times New Roman" w:hAnsi="Times New Roman" w:cs="Times New Roman"/>
        </w:rPr>
        <w:t>АГКК е единственият държавен орган с отговорност по</w:t>
      </w:r>
      <w:r w:rsidRPr="00BC41B0">
        <w:rPr>
          <w:rFonts w:ascii="Times New Roman" w:hAnsi="Times New Roman" w:cs="Times New Roman"/>
          <w:lang w:val="en-US"/>
        </w:rPr>
        <w:t>:</w:t>
      </w:r>
      <w:r w:rsidRPr="00BC41B0">
        <w:rPr>
          <w:rFonts w:ascii="Times New Roman" w:hAnsi="Times New Roman" w:cs="Times New Roman"/>
        </w:rPr>
        <w:t xml:space="preserve"> създаване, поддържане и издаване на държавните топографски карти в мащаби 1:5000 и 1:10 000 за територията на страната и българската база в Антарктика</w:t>
      </w:r>
      <w:r w:rsidRPr="00BC41B0">
        <w:rPr>
          <w:rFonts w:ascii="Times New Roman" w:hAnsi="Times New Roman" w:cs="Times New Roman"/>
          <w:lang w:val="en-US"/>
        </w:rPr>
        <w:t xml:space="preserve">; </w:t>
      </w:r>
      <w:r w:rsidRPr="00BC41B0">
        <w:rPr>
          <w:rFonts w:ascii="Times New Roman" w:hAnsi="Times New Roman" w:cs="Times New Roman"/>
        </w:rPr>
        <w:t xml:space="preserve">създаване и поддържане на регистър на географските имена в Република България; създаване и поддържане на Държавната нивелачна мрежа </w:t>
      </w:r>
      <w:r w:rsidRPr="00BC41B0">
        <w:rPr>
          <w:rFonts w:ascii="Times New Roman" w:hAnsi="Times New Roman" w:cs="Times New Roman"/>
          <w:lang w:val="en-US"/>
        </w:rPr>
        <w:t>I</w:t>
      </w:r>
      <w:r w:rsidRPr="00BC41B0">
        <w:rPr>
          <w:rFonts w:ascii="Times New Roman" w:hAnsi="Times New Roman" w:cs="Times New Roman"/>
        </w:rPr>
        <w:t xml:space="preserve"> и </w:t>
      </w:r>
      <w:r w:rsidRPr="00BC41B0">
        <w:rPr>
          <w:rFonts w:ascii="Times New Roman" w:hAnsi="Times New Roman" w:cs="Times New Roman"/>
          <w:lang w:val="en-US"/>
        </w:rPr>
        <w:t>II</w:t>
      </w:r>
      <w:r w:rsidRPr="00BC41B0">
        <w:rPr>
          <w:rFonts w:ascii="Times New Roman" w:hAnsi="Times New Roman" w:cs="Times New Roman"/>
        </w:rPr>
        <w:t xml:space="preserve"> клас, която установява единна система от височини за цялата територия на страната и служи за основа на всички височинни измервания,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w:t>
      </w:r>
      <w:r w:rsidRPr="00BC41B0">
        <w:rPr>
          <w:rFonts w:ascii="Times New Roman" w:hAnsi="Times New Roman" w:cs="Times New Roman"/>
          <w:lang w:val="en-US"/>
        </w:rPr>
        <w:t xml:space="preserve">.; </w:t>
      </w:r>
      <w:r w:rsidRPr="00BC41B0">
        <w:rPr>
          <w:rFonts w:ascii="Times New Roman" w:hAnsi="Times New Roman" w:cs="Times New Roman"/>
        </w:rPr>
        <w:t>създаване и поддържане на Държавната гравиметрична мрежа, която е изходна основа за всички гравиметрични измервания и снимки за геодезически, геофизични, научни и научноизследователски цели; създаване и поддържка на регистъра на географските имена.</w:t>
      </w:r>
    </w:p>
    <w:p w:rsidR="000343BD" w:rsidRPr="00BC41B0" w:rsidRDefault="000343BD" w:rsidP="000343BD">
      <w:pPr>
        <w:spacing w:after="0" w:line="240" w:lineRule="auto"/>
        <w:ind w:firstLine="567"/>
        <w:jc w:val="both"/>
        <w:rPr>
          <w:rFonts w:ascii="Times New Roman" w:hAnsi="Times New Roman" w:cs="Times New Roman"/>
        </w:rPr>
      </w:pPr>
      <w:r w:rsidRPr="00BC41B0">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rsidR="000343BD" w:rsidRPr="00BC41B0" w:rsidRDefault="000343BD" w:rsidP="000343BD">
      <w:pPr>
        <w:spacing w:after="0" w:line="240" w:lineRule="auto"/>
        <w:ind w:firstLine="567"/>
        <w:jc w:val="both"/>
        <w:rPr>
          <w:rFonts w:ascii="Times New Roman" w:hAnsi="Times New Roman" w:cs="Times New Roman"/>
        </w:rPr>
      </w:pPr>
      <w:r w:rsidRPr="00BC41B0">
        <w:rPr>
          <w:rFonts w:ascii="Times New Roman" w:hAnsi="Times New Roman" w:cs="Times New Roman"/>
        </w:rPr>
        <w:t>АГКК отговаря, съвместно с МО и МВР, за определянето и осъвременяването на Българската геодезическа система.</w:t>
      </w:r>
    </w:p>
    <w:p w:rsidR="000343BD" w:rsidRPr="00BC41B0" w:rsidRDefault="000343BD" w:rsidP="000343BD">
      <w:pPr>
        <w:spacing w:after="0" w:line="240" w:lineRule="auto"/>
        <w:ind w:firstLine="567"/>
        <w:jc w:val="both"/>
        <w:rPr>
          <w:rFonts w:ascii="Times New Roman" w:hAnsi="Times New Roman" w:cs="Times New Roman"/>
        </w:rPr>
      </w:pPr>
      <w:r w:rsidRPr="00BC41B0">
        <w:rPr>
          <w:rFonts w:ascii="Times New Roman" w:hAnsi="Times New Roman" w:cs="Times New Roman"/>
        </w:rPr>
        <w:t>С изпълнение на горепосочените дейности АГКК осигурява и поддържа в национален мащаб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04181F" w:rsidRPr="00BC41B0" w:rsidRDefault="007C3069" w:rsidP="005A1305">
      <w:pPr>
        <w:spacing w:after="0" w:line="240" w:lineRule="auto"/>
        <w:ind w:firstLine="567"/>
        <w:jc w:val="both"/>
        <w:rPr>
          <w:rFonts w:ascii="Times New Roman" w:hAnsi="Times New Roman" w:cs="Times New Roman"/>
          <w:b/>
          <w:i/>
        </w:rPr>
      </w:pPr>
      <w:r w:rsidRPr="00BC41B0">
        <w:rPr>
          <w:rFonts w:ascii="Times New Roman" w:hAnsi="Times New Roman" w:cs="Times New Roman"/>
          <w:b/>
          <w:i/>
        </w:rPr>
        <w:t>По отношение на дирекция „Технически правила и норми“</w:t>
      </w:r>
    </w:p>
    <w:p w:rsidR="005A1305" w:rsidRPr="00BC41B0" w:rsidRDefault="005A1305" w:rsidP="005A1305">
      <w:pPr>
        <w:spacing w:after="0" w:line="240" w:lineRule="auto"/>
        <w:ind w:firstLine="567"/>
        <w:jc w:val="both"/>
        <w:rPr>
          <w:rFonts w:ascii="Times New Roman" w:hAnsi="Times New Roman" w:cs="Times New Roman"/>
        </w:rPr>
      </w:pPr>
      <w:r w:rsidRPr="00BC41B0">
        <w:rPr>
          <w:rFonts w:ascii="Times New Roman" w:hAnsi="Times New Roman" w:cs="Times New Roman"/>
        </w:rPr>
        <w:t>Дирекция „Технически правила и норми“ (ТПН) в МРРБ отговаря за хармонизацията на техническата нормативна уредба за проектиране, изпълнение и експлоатация на строежите с правото на ЕС, осигуряването на свободното движение на строителните продукти и влагането им в строежите при осигуряване изпълнението на основните изисквания към строежите.</w:t>
      </w:r>
    </w:p>
    <w:p w:rsidR="005A1305" w:rsidRPr="00BC41B0" w:rsidRDefault="005A1305" w:rsidP="005A1305">
      <w:pPr>
        <w:spacing w:after="0" w:line="240" w:lineRule="auto"/>
        <w:ind w:firstLine="567"/>
        <w:jc w:val="both"/>
        <w:rPr>
          <w:rFonts w:ascii="Times New Roman" w:hAnsi="Times New Roman" w:cs="Times New Roman"/>
        </w:rPr>
      </w:pPr>
      <w:r w:rsidRPr="00BC41B0">
        <w:rPr>
          <w:rFonts w:ascii="Times New Roman" w:hAnsi="Times New Roman" w:cs="Times New Roman"/>
        </w:rPr>
        <w:t>Дирекция</w:t>
      </w:r>
      <w:r w:rsidRPr="00BC41B0">
        <w:rPr>
          <w:rFonts w:ascii="Times New Roman" w:hAnsi="Times New Roman" w:cs="Times New Roman"/>
          <w:lang w:val="en-US"/>
        </w:rPr>
        <w:t>та</w:t>
      </w:r>
      <w:r w:rsidRPr="00BC41B0">
        <w:rPr>
          <w:rFonts w:ascii="Times New Roman" w:hAnsi="Times New Roman" w:cs="Times New Roman"/>
        </w:rPr>
        <w:t xml:space="preserve"> работи за осъществяването на държавна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Дирекцията осъществява дейност в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rsidR="005A1305" w:rsidRPr="00BC41B0" w:rsidRDefault="005A1305" w:rsidP="005A1305">
      <w:pPr>
        <w:spacing w:after="0" w:line="240" w:lineRule="auto"/>
        <w:ind w:firstLine="567"/>
        <w:jc w:val="both"/>
        <w:rPr>
          <w:rFonts w:ascii="Times New Roman" w:hAnsi="Times New Roman" w:cs="Times New Roman"/>
        </w:rPr>
      </w:pPr>
      <w:r w:rsidRPr="00BC41B0">
        <w:rPr>
          <w:rFonts w:ascii="Times New Roman" w:hAnsi="Times New Roman" w:cs="Times New Roman"/>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5A1305" w:rsidRPr="00BC41B0" w:rsidRDefault="005A1305" w:rsidP="005A1305">
      <w:pPr>
        <w:spacing w:after="0" w:line="240" w:lineRule="auto"/>
        <w:ind w:firstLine="567"/>
        <w:jc w:val="both"/>
        <w:rPr>
          <w:rFonts w:ascii="Times New Roman" w:hAnsi="Times New Roman" w:cs="Times New Roman"/>
        </w:rPr>
      </w:pPr>
      <w:r w:rsidRPr="00BC41B0">
        <w:rPr>
          <w:rFonts w:ascii="Times New Roman" w:hAnsi="Times New Roman" w:cs="Times New Roman"/>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5A1305" w:rsidRPr="00BC41B0" w:rsidRDefault="005A1305" w:rsidP="005A1305">
      <w:pPr>
        <w:spacing w:after="0" w:line="240" w:lineRule="auto"/>
        <w:ind w:firstLine="567"/>
        <w:jc w:val="both"/>
        <w:rPr>
          <w:rFonts w:ascii="Times New Roman" w:hAnsi="Times New Roman" w:cs="Times New Roman"/>
        </w:rPr>
      </w:pPr>
      <w:r w:rsidRPr="00BC41B0">
        <w:rPr>
          <w:rFonts w:ascii="Times New Roman" w:hAnsi="Times New Roman" w:cs="Times New Roman"/>
        </w:rPr>
        <w:t>Дейността на дирекция ТПН е свързана с изпълнение на следните цели, заложени в програмния формат на бюджета на МРРБ за разглеждания бюджетен период:</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Нормативна и приложна дейност в областта на пътната инфраструктура;</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color w:val="000000" w:themeColor="text1"/>
        </w:rPr>
      </w:pPr>
      <w:r w:rsidRPr="00BC41B0">
        <w:rPr>
          <w:rFonts w:ascii="Times New Roman" w:hAnsi="Times New Roman" w:cs="Times New Roman"/>
          <w:color w:val="000000" w:themeColor="text1"/>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rPr>
      </w:pPr>
      <w:r w:rsidRPr="00BC41B0">
        <w:rPr>
          <w:rFonts w:ascii="Times New Roman" w:hAnsi="Times New Roman" w:cs="Times New Roman"/>
          <w:color w:val="000000" w:themeColor="text1"/>
        </w:rPr>
        <w:t>Осигуряване на актуална информация за националните изисквания към строителните продукти в зависимост от предвидената им употреба;</w:t>
      </w:r>
    </w:p>
    <w:p w:rsidR="005A1305" w:rsidRPr="00BC41B0" w:rsidRDefault="005A1305" w:rsidP="005A1305">
      <w:pPr>
        <w:pStyle w:val="ListParagraph"/>
        <w:numPr>
          <w:ilvl w:val="0"/>
          <w:numId w:val="3"/>
        </w:numPr>
        <w:spacing w:after="0" w:line="240" w:lineRule="auto"/>
        <w:ind w:left="0" w:firstLine="567"/>
        <w:contextualSpacing w:val="0"/>
        <w:jc w:val="both"/>
        <w:rPr>
          <w:rFonts w:ascii="Times New Roman" w:hAnsi="Times New Roman" w:cs="Times New Roman"/>
        </w:rPr>
      </w:pPr>
      <w:r w:rsidRPr="00BC41B0">
        <w:rPr>
          <w:rFonts w:ascii="Times New Roman" w:hAnsi="Times New Roman" w:cs="Times New Roman"/>
          <w:color w:val="000000" w:themeColor="text1"/>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7C3069" w:rsidRPr="00BC41B0" w:rsidRDefault="007C3069" w:rsidP="0004181F">
      <w:pPr>
        <w:spacing w:after="0"/>
        <w:ind w:firstLine="567"/>
        <w:jc w:val="both"/>
        <w:rPr>
          <w:rFonts w:ascii="Times New Roman" w:hAnsi="Times New Roman" w:cs="Times New Roman"/>
          <w:b/>
          <w:i/>
        </w:rPr>
      </w:pPr>
      <w:r w:rsidRPr="00BC41B0">
        <w:rPr>
          <w:rFonts w:ascii="Times New Roman" w:hAnsi="Times New Roman" w:cs="Times New Roman"/>
          <w:b/>
          <w:i/>
        </w:rPr>
        <w:t>По отношение на дирекция „Водоснабдяване и канализация и благоустройствени дейности“</w:t>
      </w:r>
    </w:p>
    <w:p w:rsidR="00EE2A79" w:rsidRPr="00BC41B0" w:rsidRDefault="00EE2A79" w:rsidP="00EE2A79">
      <w:pPr>
        <w:spacing w:after="0" w:line="240" w:lineRule="auto"/>
        <w:ind w:firstLine="567"/>
        <w:contextualSpacing/>
        <w:jc w:val="both"/>
      </w:pPr>
      <w:r w:rsidRPr="00BC41B0">
        <w:rPr>
          <w:rFonts w:ascii="Times New Roman" w:eastAsia="Times New Roman" w:hAnsi="Times New Roman" w:cs="Times New Roman"/>
          <w:noProof/>
          <w:lang w:eastAsia="bg-BG"/>
        </w:rPr>
        <w:t>Политиката в областта на околната среда, обвързана с изпълнението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в т.ч. дейностите по регистрирането и мониторинга на свлачищните райони в Република България се изпълнява от Министерството на регионалното развитие и благоустройството. Геозащитни мерки и дейности се изпълняват от МРРБ, от общините и областни администрации в т.ч. чрез финансовото им подпомагане чрез трансфери за проекто-проучвателни работи и строително-монтажни работи. Свлачищата, ерозията 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w:t>
      </w:r>
      <w:r w:rsidRPr="00BC41B0">
        <w:t xml:space="preserve"> </w:t>
      </w:r>
    </w:p>
    <w:p w:rsidR="00EE2A79" w:rsidRPr="00BC41B0" w:rsidRDefault="00EE2A79" w:rsidP="00EE2A79">
      <w:pPr>
        <w:spacing w:after="0" w:line="240" w:lineRule="auto"/>
        <w:ind w:firstLine="567"/>
        <w:contextualSpacing/>
        <w:jc w:val="both"/>
        <w:rPr>
          <w:rFonts w:ascii="Times New Roman" w:eastAsia="Times New Roman" w:hAnsi="Times New Roman" w:cs="Times New Roman"/>
          <w:noProof/>
          <w:lang w:eastAsia="bg-BG"/>
        </w:rPr>
      </w:pPr>
      <w:r w:rsidRPr="00BC41B0">
        <w:rPr>
          <w:rFonts w:ascii="Times New Roman" w:eastAsia="Times New Roman" w:hAnsi="Times New Roman" w:cs="Times New Roman"/>
          <w:noProof/>
          <w:lang w:eastAsia="bg-BG"/>
        </w:rPr>
        <w:t xml:space="preserve">Подкрепа на общинските администрации за подобряване състоянието на общинската пътна и улична мрежи, като транспортна достъпност до и в населените мeста, които са със социална значимост, подобряват достъпа до и в населените места и социалните услуги на територията на общините, както и подобряват техническите характеристики, сигурността и безопасността на общинските пътища и улична мрежа. Нормативно възложеното актуализиране на списъка на общинските пътища и поддържане/допълване на базата данни за състоянието на включените в него пътни трасета  и съоръжения към тях. </w:t>
      </w:r>
    </w:p>
    <w:p w:rsidR="00EE2A79" w:rsidRPr="00BC41B0" w:rsidRDefault="00EE2A79" w:rsidP="00AB0CB7">
      <w:pPr>
        <w:spacing w:after="0" w:line="240" w:lineRule="auto"/>
        <w:ind w:firstLine="567"/>
        <w:jc w:val="both"/>
        <w:rPr>
          <w:rFonts w:ascii="Times New Roman" w:hAnsi="Times New Roman" w:cs="Times New Roman"/>
          <w:b/>
          <w:i/>
          <w:color w:val="FF0000"/>
        </w:rPr>
      </w:pPr>
      <w:r w:rsidRPr="00BC41B0">
        <w:rPr>
          <w:rFonts w:ascii="Times New Roman" w:eastAsia="Times New Roman" w:hAnsi="Times New Roman" w:cs="Times New Roman"/>
          <w:lang w:eastAsia="bg-BG"/>
        </w:rPr>
        <w:t xml:space="preserve">Целта на провежданата държавна политика в отрасъл „Водоснабдяване и канализация“ е да се постигне финансово, технически и екологично устойчив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w:t>
      </w:r>
      <w:r w:rsidRPr="00BC41B0">
        <w:rPr>
          <w:rFonts w:ascii="Times New Roman" w:eastAsia="Times New Roman" w:hAnsi="Times New Roman" w:cs="Times New Roman"/>
          <w:noProof/>
          <w:lang w:eastAsia="bg-BG"/>
        </w:rPr>
        <w:t xml:space="preserve">В тази връзка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rsidR="007C3069" w:rsidRPr="00BC41B0" w:rsidRDefault="007C3069" w:rsidP="00AB0CB7">
      <w:pPr>
        <w:spacing w:after="0" w:line="240" w:lineRule="auto"/>
        <w:ind w:right="46" w:firstLine="567"/>
        <w:jc w:val="both"/>
        <w:rPr>
          <w:rFonts w:ascii="Times New Roman" w:hAnsi="Times New Roman" w:cs="Times New Roman"/>
          <w:b/>
          <w:i/>
          <w:lang w:val="en-US"/>
        </w:rPr>
      </w:pPr>
      <w:r w:rsidRPr="00BC41B0">
        <w:rPr>
          <w:rFonts w:ascii="Times New Roman" w:hAnsi="Times New Roman" w:cs="Times New Roman"/>
          <w:b/>
          <w:i/>
        </w:rPr>
        <w:t xml:space="preserve">По отношение на дирекция „Устройство на територията и административно-териториално устройство“ </w:t>
      </w:r>
      <w:r w:rsidRPr="00BC41B0">
        <w:rPr>
          <w:rFonts w:ascii="Times New Roman" w:hAnsi="Times New Roman" w:cs="Times New Roman"/>
          <w:b/>
          <w:i/>
          <w:lang w:val="en-US"/>
        </w:rPr>
        <w:t>(</w:t>
      </w:r>
      <w:r w:rsidRPr="00BC41B0">
        <w:rPr>
          <w:rFonts w:ascii="Times New Roman" w:hAnsi="Times New Roman" w:cs="Times New Roman"/>
          <w:b/>
          <w:i/>
        </w:rPr>
        <w:t>УТАТУ</w:t>
      </w:r>
      <w:r w:rsidRPr="00BC41B0">
        <w:rPr>
          <w:rFonts w:ascii="Times New Roman" w:hAnsi="Times New Roman" w:cs="Times New Roman"/>
          <w:b/>
          <w:i/>
          <w:lang w:val="en-US"/>
        </w:rPr>
        <w:t>)</w:t>
      </w:r>
    </w:p>
    <w:p w:rsidR="00CF0ECC" w:rsidRPr="00BC41B0" w:rsidRDefault="00CF0ECC" w:rsidP="00AB0CB7">
      <w:pPr>
        <w:spacing w:after="0" w:line="240" w:lineRule="auto"/>
        <w:ind w:firstLine="567"/>
        <w:jc w:val="both"/>
        <w:rPr>
          <w:rFonts w:ascii="Times New Roman" w:hAnsi="Times New Roman" w:cs="Times New Roman"/>
          <w:b/>
          <w:color w:val="000000" w:themeColor="text1"/>
        </w:rPr>
      </w:pPr>
      <w:r w:rsidRPr="00BC41B0">
        <w:rPr>
          <w:rFonts w:ascii="Times New Roman" w:hAnsi="Times New Roman" w:cs="Times New Roman"/>
          <w:color w:val="000000" w:themeColor="text1"/>
        </w:rPr>
        <w:t>Осигуряване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rsidR="00983C19" w:rsidRPr="00713AD5" w:rsidRDefault="00983C19" w:rsidP="000343BD">
      <w:pPr>
        <w:pStyle w:val="ListParagraph"/>
        <w:numPr>
          <w:ilvl w:val="0"/>
          <w:numId w:val="3"/>
        </w:numPr>
        <w:spacing w:before="120" w:after="120"/>
        <w:jc w:val="both"/>
        <w:rPr>
          <w:rFonts w:ascii="Times New Roman" w:hAnsi="Times New Roman" w:cs="Times New Roman"/>
          <w:b/>
          <w:i/>
          <w:color w:val="0000CC"/>
        </w:rPr>
      </w:pPr>
      <w:r w:rsidRPr="00713AD5">
        <w:rPr>
          <w:rFonts w:ascii="Times New Roman" w:hAnsi="Times New Roman" w:cs="Times New Roman"/>
          <w:b/>
          <w:i/>
          <w:color w:val="0000CC"/>
        </w:rPr>
        <w:t>Отговорност за разпределението на публичните разходи за политиката</w:t>
      </w:r>
    </w:p>
    <w:p w:rsidR="00983C19" w:rsidRDefault="00983C19" w:rsidP="00713AD5">
      <w:pPr>
        <w:pStyle w:val="ListParagraph"/>
        <w:numPr>
          <w:ilvl w:val="1"/>
          <w:numId w:val="3"/>
        </w:numPr>
        <w:spacing w:before="120" w:after="120"/>
        <w:ind w:left="1134" w:hanging="283"/>
        <w:jc w:val="both"/>
        <w:rPr>
          <w:rFonts w:ascii="Times New Roman" w:hAnsi="Times New Roman" w:cs="Times New Roman"/>
          <w:i/>
        </w:rPr>
      </w:pPr>
      <w:r w:rsidRPr="00DE4284">
        <w:rPr>
          <w:rFonts w:ascii="Times New Roman" w:hAnsi="Times New Roman" w:cs="Times New Roman"/>
          <w:i/>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tbl>
      <w:tblPr>
        <w:tblW w:w="9089" w:type="dxa"/>
        <w:tblLook w:val="04A0" w:firstRow="1" w:lastRow="0" w:firstColumn="1" w:lastColumn="0" w:noHBand="0" w:noVBand="1"/>
      </w:tblPr>
      <w:tblGrid>
        <w:gridCol w:w="2830"/>
        <w:gridCol w:w="1559"/>
        <w:gridCol w:w="1420"/>
        <w:gridCol w:w="1600"/>
        <w:gridCol w:w="1680"/>
      </w:tblGrid>
      <w:tr w:rsidR="00666174" w:rsidRPr="00B82C1F" w:rsidTr="00C05C30">
        <w:trPr>
          <w:trHeight w:val="480"/>
        </w:trPr>
        <w:tc>
          <w:tcPr>
            <w:tcW w:w="283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666174" w:rsidRPr="00B82C1F" w:rsidRDefault="00666174" w:rsidP="005469C0">
            <w:pPr>
              <w:spacing w:after="0" w:line="240" w:lineRule="auto"/>
              <w:jc w:val="center"/>
              <w:rPr>
                <w:rFonts w:ascii="Times New Roman" w:eastAsia="Times New Roman" w:hAnsi="Times New Roman" w:cs="Times New Roman"/>
                <w:b/>
                <w:bCs/>
                <w:i/>
                <w:iCs/>
                <w:color w:val="000000"/>
                <w:sz w:val="18"/>
                <w:szCs w:val="18"/>
                <w:lang w:val="en-US"/>
              </w:rPr>
            </w:pPr>
            <w:r w:rsidRPr="00B82C1F">
              <w:rPr>
                <w:rFonts w:ascii="Times New Roman" w:eastAsia="Times New Roman" w:hAnsi="Times New Roman" w:cs="Times New Roman"/>
                <w:b/>
                <w:bCs/>
                <w:i/>
                <w:iCs/>
                <w:color w:val="000000"/>
                <w:sz w:val="18"/>
                <w:szCs w:val="18"/>
                <w:lang w:val="en-US"/>
              </w:rPr>
              <w:t>Област на политика (в хил.лв.)</w:t>
            </w:r>
          </w:p>
        </w:tc>
        <w:tc>
          <w:tcPr>
            <w:tcW w:w="1559" w:type="dxa"/>
            <w:tcBorders>
              <w:top w:val="single" w:sz="4" w:space="0" w:color="auto"/>
              <w:left w:val="nil"/>
              <w:bottom w:val="single" w:sz="4" w:space="0" w:color="auto"/>
              <w:right w:val="single" w:sz="4" w:space="0" w:color="auto"/>
            </w:tcBorders>
            <w:shd w:val="clear" w:color="000000" w:fill="FCD5B4"/>
            <w:vAlign w:val="center"/>
            <w:hideMark/>
          </w:tcPr>
          <w:p w:rsidR="00666174" w:rsidRPr="00B82C1F" w:rsidRDefault="00666174" w:rsidP="005469C0">
            <w:pPr>
              <w:spacing w:after="0" w:line="240" w:lineRule="auto"/>
              <w:jc w:val="center"/>
              <w:rPr>
                <w:rFonts w:ascii="Times New Roman" w:eastAsia="Times New Roman" w:hAnsi="Times New Roman" w:cs="Times New Roman"/>
                <w:b/>
                <w:bCs/>
                <w:i/>
                <w:iCs/>
                <w:color w:val="000000"/>
                <w:sz w:val="18"/>
                <w:szCs w:val="18"/>
                <w:lang w:val="en-US"/>
              </w:rPr>
            </w:pPr>
            <w:r w:rsidRPr="00B82C1F">
              <w:rPr>
                <w:rFonts w:ascii="Times New Roman" w:eastAsia="Times New Roman" w:hAnsi="Times New Roman" w:cs="Times New Roman"/>
                <w:b/>
                <w:bCs/>
                <w:i/>
                <w:iCs/>
                <w:color w:val="000000"/>
                <w:sz w:val="18"/>
                <w:szCs w:val="18"/>
                <w:lang w:val="en-US"/>
              </w:rPr>
              <w:t> </w:t>
            </w:r>
          </w:p>
        </w:tc>
        <w:tc>
          <w:tcPr>
            <w:tcW w:w="1420" w:type="dxa"/>
            <w:tcBorders>
              <w:top w:val="single" w:sz="4" w:space="0" w:color="auto"/>
              <w:left w:val="nil"/>
              <w:bottom w:val="single" w:sz="4" w:space="0" w:color="auto"/>
              <w:right w:val="single" w:sz="4" w:space="0" w:color="auto"/>
            </w:tcBorders>
            <w:shd w:val="clear" w:color="000000" w:fill="FCD5B4"/>
            <w:vAlign w:val="center"/>
            <w:hideMark/>
          </w:tcPr>
          <w:p w:rsidR="00666174" w:rsidRPr="00B82C1F" w:rsidRDefault="00666174" w:rsidP="005469C0">
            <w:pPr>
              <w:spacing w:after="0" w:line="240" w:lineRule="auto"/>
              <w:jc w:val="center"/>
              <w:rPr>
                <w:rFonts w:ascii="Times New Roman" w:eastAsia="Times New Roman" w:hAnsi="Times New Roman" w:cs="Times New Roman"/>
                <w:b/>
                <w:bCs/>
                <w:i/>
                <w:iCs/>
                <w:color w:val="000000"/>
                <w:sz w:val="18"/>
                <w:szCs w:val="18"/>
                <w:lang w:val="en-US"/>
              </w:rPr>
            </w:pPr>
            <w:r w:rsidRPr="00B82C1F">
              <w:rPr>
                <w:rFonts w:ascii="Times New Roman" w:eastAsia="Times New Roman" w:hAnsi="Times New Roman" w:cs="Times New Roman"/>
                <w:b/>
                <w:bCs/>
                <w:i/>
                <w:iCs/>
                <w:color w:val="000000"/>
                <w:sz w:val="18"/>
                <w:szCs w:val="18"/>
                <w:lang w:val="en-US"/>
              </w:rPr>
              <w:t>Общо разходи</w:t>
            </w:r>
          </w:p>
        </w:tc>
        <w:tc>
          <w:tcPr>
            <w:tcW w:w="1600" w:type="dxa"/>
            <w:tcBorders>
              <w:top w:val="single" w:sz="4" w:space="0" w:color="auto"/>
              <w:left w:val="nil"/>
              <w:bottom w:val="single" w:sz="4" w:space="0" w:color="auto"/>
              <w:right w:val="single" w:sz="4" w:space="0" w:color="auto"/>
            </w:tcBorders>
            <w:shd w:val="clear" w:color="000000" w:fill="FCD5B4"/>
            <w:vAlign w:val="center"/>
            <w:hideMark/>
          </w:tcPr>
          <w:p w:rsidR="00666174" w:rsidRPr="00B82C1F" w:rsidRDefault="00666174" w:rsidP="005469C0">
            <w:pPr>
              <w:spacing w:after="0" w:line="240" w:lineRule="auto"/>
              <w:jc w:val="center"/>
              <w:rPr>
                <w:rFonts w:ascii="Times New Roman" w:eastAsia="Times New Roman" w:hAnsi="Times New Roman" w:cs="Times New Roman"/>
                <w:b/>
                <w:bCs/>
                <w:i/>
                <w:iCs/>
                <w:color w:val="000000"/>
                <w:sz w:val="18"/>
                <w:szCs w:val="18"/>
                <w:lang w:val="en-US"/>
              </w:rPr>
            </w:pPr>
            <w:r w:rsidRPr="00B82C1F">
              <w:rPr>
                <w:rFonts w:ascii="Times New Roman" w:eastAsia="Times New Roman" w:hAnsi="Times New Roman" w:cs="Times New Roman"/>
                <w:b/>
                <w:bCs/>
                <w:i/>
                <w:iCs/>
                <w:color w:val="000000"/>
                <w:sz w:val="18"/>
                <w:szCs w:val="18"/>
                <w:lang w:val="en-US"/>
              </w:rPr>
              <w:t>По бюджета на ПРБ</w:t>
            </w:r>
          </w:p>
        </w:tc>
        <w:tc>
          <w:tcPr>
            <w:tcW w:w="1680" w:type="dxa"/>
            <w:tcBorders>
              <w:top w:val="single" w:sz="4" w:space="0" w:color="auto"/>
              <w:left w:val="nil"/>
              <w:bottom w:val="single" w:sz="4" w:space="0" w:color="auto"/>
              <w:right w:val="single" w:sz="4" w:space="0" w:color="auto"/>
            </w:tcBorders>
            <w:shd w:val="clear" w:color="000000" w:fill="FCD5B4"/>
            <w:vAlign w:val="center"/>
            <w:hideMark/>
          </w:tcPr>
          <w:p w:rsidR="00666174" w:rsidRPr="00B82C1F" w:rsidRDefault="00666174" w:rsidP="005469C0">
            <w:pPr>
              <w:spacing w:after="0" w:line="240" w:lineRule="auto"/>
              <w:jc w:val="center"/>
              <w:rPr>
                <w:rFonts w:ascii="Times New Roman" w:eastAsia="Times New Roman" w:hAnsi="Times New Roman" w:cs="Times New Roman"/>
                <w:b/>
                <w:bCs/>
                <w:i/>
                <w:iCs/>
                <w:color w:val="000000"/>
                <w:sz w:val="18"/>
                <w:szCs w:val="18"/>
                <w:lang w:val="en-US"/>
              </w:rPr>
            </w:pPr>
            <w:r w:rsidRPr="00B82C1F">
              <w:rPr>
                <w:rFonts w:ascii="Times New Roman" w:eastAsia="Times New Roman" w:hAnsi="Times New Roman" w:cs="Times New Roman"/>
                <w:b/>
                <w:bCs/>
                <w:i/>
                <w:iCs/>
                <w:color w:val="000000"/>
                <w:sz w:val="18"/>
                <w:szCs w:val="18"/>
                <w:lang w:val="en-US"/>
              </w:rPr>
              <w:t>По други бюджети и сметки за СЕС</w:t>
            </w:r>
          </w:p>
        </w:tc>
      </w:tr>
      <w:tr w:rsidR="00166C58" w:rsidRPr="00B82C1F" w:rsidTr="00C05C30">
        <w:trPr>
          <w:trHeight w:val="390"/>
        </w:trPr>
        <w:tc>
          <w:tcPr>
            <w:tcW w:w="2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6C58" w:rsidRPr="00B82C1F" w:rsidRDefault="00166C58" w:rsidP="00166C58">
            <w:pPr>
              <w:spacing w:after="0" w:line="240" w:lineRule="auto"/>
              <w:rPr>
                <w:rFonts w:ascii="Times New Roman" w:eastAsia="Times New Roman" w:hAnsi="Times New Roman" w:cs="Times New Roman"/>
                <w:color w:val="000000"/>
                <w:sz w:val="18"/>
                <w:szCs w:val="18"/>
                <w:lang w:val="en-US"/>
              </w:rPr>
            </w:pPr>
            <w:r w:rsidRPr="00B82C1F">
              <w:rPr>
                <w:rFonts w:ascii="Times New Roman" w:eastAsia="Times New Roman" w:hAnsi="Times New Roman" w:cs="Times New Roman"/>
                <w:color w:val="000000"/>
                <w:sz w:val="18"/>
                <w:szCs w:val="18"/>
                <w:lang w:val="en-US"/>
              </w:rPr>
              <w:t>Политика за подобряване на инвестиционния процес, поддържане, модернизация и изграждане на техническата инфраструктура</w:t>
            </w:r>
          </w:p>
        </w:tc>
        <w:tc>
          <w:tcPr>
            <w:tcW w:w="1559" w:type="dxa"/>
            <w:tcBorders>
              <w:top w:val="nil"/>
              <w:left w:val="nil"/>
              <w:bottom w:val="single" w:sz="4" w:space="0" w:color="auto"/>
              <w:right w:val="single" w:sz="4" w:space="0" w:color="auto"/>
            </w:tcBorders>
            <w:shd w:val="clear" w:color="000000" w:fill="FFFFFF"/>
            <w:vAlign w:val="center"/>
          </w:tcPr>
          <w:p w:rsidR="00166C58" w:rsidRPr="00862553"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862553">
              <w:rPr>
                <w:rFonts w:ascii="Times New Roman" w:eastAsia="Times New Roman" w:hAnsi="Times New Roman" w:cs="Times New Roman"/>
                <w:i/>
                <w:iCs/>
                <w:color w:val="000000"/>
                <w:sz w:val="16"/>
                <w:szCs w:val="16"/>
                <w:lang w:val="en-US"/>
              </w:rPr>
              <w:t>Прогноза 2025 г.</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166C58" w:rsidRPr="00C05C30" w:rsidRDefault="00C05C30" w:rsidP="00166C58">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lang w:val="en-US"/>
              </w:rPr>
              <w:t>3 228 626,</w:t>
            </w:r>
            <w:r>
              <w:rPr>
                <w:rFonts w:ascii="Times New Roman" w:eastAsia="Times New Roman" w:hAnsi="Times New Roman" w:cs="Times New Roman"/>
                <w:i/>
                <w:iCs/>
                <w:color w:val="000000"/>
                <w:sz w:val="16"/>
                <w:szCs w:val="16"/>
              </w:rPr>
              <w:t>1</w:t>
            </w:r>
          </w:p>
        </w:tc>
        <w:tc>
          <w:tcPr>
            <w:tcW w:w="1600" w:type="dxa"/>
            <w:tcBorders>
              <w:top w:val="single" w:sz="4" w:space="0" w:color="auto"/>
              <w:left w:val="nil"/>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1 027 054,8</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166C58" w:rsidRPr="00166C58" w:rsidRDefault="00C05C30" w:rsidP="00166C58">
            <w:pPr>
              <w:spacing w:after="0" w:line="240" w:lineRule="auto"/>
              <w:jc w:val="center"/>
              <w:rPr>
                <w:rFonts w:ascii="Times New Roman" w:eastAsia="Times New Roman" w:hAnsi="Times New Roman" w:cs="Times New Roman"/>
                <w:i/>
                <w:iCs/>
                <w:color w:val="000000"/>
                <w:sz w:val="16"/>
                <w:szCs w:val="16"/>
                <w:lang w:val="en-US"/>
              </w:rPr>
            </w:pPr>
            <w:r>
              <w:rPr>
                <w:rFonts w:ascii="Times New Roman" w:eastAsia="Times New Roman" w:hAnsi="Times New Roman" w:cs="Times New Roman"/>
                <w:i/>
                <w:iCs/>
                <w:color w:val="000000"/>
                <w:sz w:val="16"/>
                <w:szCs w:val="16"/>
                <w:lang w:val="en-US"/>
              </w:rPr>
              <w:t>2 201 571,3</w:t>
            </w:r>
          </w:p>
        </w:tc>
      </w:tr>
      <w:tr w:rsidR="00166C58" w:rsidRPr="00B82C1F" w:rsidTr="00C05C30">
        <w:trPr>
          <w:trHeight w:val="390"/>
        </w:trPr>
        <w:tc>
          <w:tcPr>
            <w:tcW w:w="2830" w:type="dxa"/>
            <w:vMerge/>
            <w:tcBorders>
              <w:top w:val="nil"/>
              <w:left w:val="single" w:sz="4" w:space="0" w:color="auto"/>
              <w:bottom w:val="single" w:sz="4" w:space="0" w:color="000000"/>
              <w:right w:val="single" w:sz="4" w:space="0" w:color="auto"/>
            </w:tcBorders>
            <w:vAlign w:val="center"/>
            <w:hideMark/>
          </w:tcPr>
          <w:p w:rsidR="00166C58" w:rsidRPr="00B82C1F" w:rsidRDefault="00166C58" w:rsidP="00166C58">
            <w:pPr>
              <w:spacing w:after="0" w:line="240" w:lineRule="auto"/>
              <w:rPr>
                <w:rFonts w:ascii="Times New Roman" w:eastAsia="Times New Roman" w:hAnsi="Times New Roman" w:cs="Times New Roman"/>
                <w:color w:val="000000"/>
                <w:sz w:val="18"/>
                <w:szCs w:val="18"/>
                <w:lang w:val="en-US"/>
              </w:rPr>
            </w:pPr>
          </w:p>
        </w:tc>
        <w:tc>
          <w:tcPr>
            <w:tcW w:w="1559" w:type="dxa"/>
            <w:tcBorders>
              <w:top w:val="nil"/>
              <w:left w:val="nil"/>
              <w:bottom w:val="single" w:sz="4" w:space="0" w:color="auto"/>
              <w:right w:val="single" w:sz="4" w:space="0" w:color="auto"/>
            </w:tcBorders>
            <w:shd w:val="clear" w:color="000000" w:fill="FFFFFF"/>
            <w:vAlign w:val="center"/>
          </w:tcPr>
          <w:p w:rsidR="00166C58" w:rsidRPr="00862553"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862553">
              <w:rPr>
                <w:rFonts w:ascii="Times New Roman" w:eastAsia="Times New Roman" w:hAnsi="Times New Roman" w:cs="Times New Roman"/>
                <w:i/>
                <w:iCs/>
                <w:color w:val="000000"/>
                <w:sz w:val="16"/>
                <w:szCs w:val="16"/>
                <w:lang w:val="en-US"/>
              </w:rPr>
              <w:t>Прогноза 2026 г.</w:t>
            </w:r>
          </w:p>
        </w:tc>
        <w:tc>
          <w:tcPr>
            <w:tcW w:w="1420" w:type="dxa"/>
            <w:tcBorders>
              <w:top w:val="nil"/>
              <w:left w:val="single" w:sz="4" w:space="0" w:color="auto"/>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3 057 559,7</w:t>
            </w:r>
          </w:p>
        </w:tc>
        <w:tc>
          <w:tcPr>
            <w:tcW w:w="1600" w:type="dxa"/>
            <w:tcBorders>
              <w:top w:val="nil"/>
              <w:left w:val="nil"/>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1 026 454,6</w:t>
            </w:r>
          </w:p>
        </w:tc>
        <w:tc>
          <w:tcPr>
            <w:tcW w:w="1680" w:type="dxa"/>
            <w:tcBorders>
              <w:top w:val="nil"/>
              <w:left w:val="nil"/>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2 031 105,1</w:t>
            </w:r>
          </w:p>
        </w:tc>
      </w:tr>
      <w:tr w:rsidR="00166C58" w:rsidRPr="00B82C1F" w:rsidTr="00C05C30">
        <w:trPr>
          <w:trHeight w:val="390"/>
        </w:trPr>
        <w:tc>
          <w:tcPr>
            <w:tcW w:w="2830" w:type="dxa"/>
            <w:vMerge/>
            <w:tcBorders>
              <w:top w:val="nil"/>
              <w:left w:val="single" w:sz="4" w:space="0" w:color="auto"/>
              <w:bottom w:val="single" w:sz="4" w:space="0" w:color="000000"/>
              <w:right w:val="single" w:sz="4" w:space="0" w:color="auto"/>
            </w:tcBorders>
            <w:vAlign w:val="center"/>
            <w:hideMark/>
          </w:tcPr>
          <w:p w:rsidR="00166C58" w:rsidRPr="00B82C1F" w:rsidRDefault="00166C58" w:rsidP="00166C58">
            <w:pPr>
              <w:spacing w:after="0" w:line="240" w:lineRule="auto"/>
              <w:rPr>
                <w:rFonts w:ascii="Times New Roman" w:eastAsia="Times New Roman" w:hAnsi="Times New Roman" w:cs="Times New Roman"/>
                <w:color w:val="000000"/>
                <w:sz w:val="18"/>
                <w:szCs w:val="18"/>
                <w:lang w:val="en-US"/>
              </w:rPr>
            </w:pPr>
          </w:p>
        </w:tc>
        <w:tc>
          <w:tcPr>
            <w:tcW w:w="1559" w:type="dxa"/>
            <w:tcBorders>
              <w:top w:val="nil"/>
              <w:left w:val="nil"/>
              <w:bottom w:val="single" w:sz="4" w:space="0" w:color="auto"/>
              <w:right w:val="single" w:sz="4" w:space="0" w:color="auto"/>
            </w:tcBorders>
            <w:shd w:val="clear" w:color="000000" w:fill="FFFFFF"/>
            <w:vAlign w:val="center"/>
          </w:tcPr>
          <w:p w:rsidR="00166C58" w:rsidRPr="00862553" w:rsidRDefault="00166C58" w:rsidP="00166C58">
            <w:pPr>
              <w:spacing w:after="0" w:line="240" w:lineRule="auto"/>
              <w:jc w:val="center"/>
              <w:rPr>
                <w:rFonts w:ascii="Times New Roman" w:eastAsia="Times New Roman" w:hAnsi="Times New Roman" w:cs="Times New Roman"/>
                <w:i/>
                <w:iCs/>
                <w:color w:val="000000"/>
                <w:sz w:val="16"/>
                <w:szCs w:val="16"/>
                <w:lang w:val="en-US"/>
              </w:rPr>
            </w:pPr>
            <w:r>
              <w:rPr>
                <w:rFonts w:ascii="Times New Roman" w:eastAsia="Times New Roman" w:hAnsi="Times New Roman" w:cs="Times New Roman"/>
                <w:i/>
                <w:iCs/>
                <w:color w:val="000000"/>
                <w:sz w:val="16"/>
                <w:szCs w:val="16"/>
                <w:lang w:val="en-US"/>
              </w:rPr>
              <w:t xml:space="preserve">Прогноза 2027 </w:t>
            </w:r>
            <w:r w:rsidRPr="00862553">
              <w:rPr>
                <w:rFonts w:ascii="Times New Roman" w:eastAsia="Times New Roman" w:hAnsi="Times New Roman" w:cs="Times New Roman"/>
                <w:i/>
                <w:iCs/>
                <w:color w:val="000000"/>
                <w:sz w:val="16"/>
                <w:szCs w:val="16"/>
                <w:lang w:val="en-US"/>
              </w:rPr>
              <w:t>г.</w:t>
            </w:r>
          </w:p>
        </w:tc>
        <w:tc>
          <w:tcPr>
            <w:tcW w:w="1420" w:type="dxa"/>
            <w:tcBorders>
              <w:top w:val="nil"/>
              <w:left w:val="single" w:sz="4" w:space="0" w:color="auto"/>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3 178 316,8</w:t>
            </w:r>
          </w:p>
        </w:tc>
        <w:tc>
          <w:tcPr>
            <w:tcW w:w="1600" w:type="dxa"/>
            <w:tcBorders>
              <w:top w:val="nil"/>
              <w:left w:val="nil"/>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1 026 454,6</w:t>
            </w:r>
          </w:p>
        </w:tc>
        <w:tc>
          <w:tcPr>
            <w:tcW w:w="1680" w:type="dxa"/>
            <w:tcBorders>
              <w:top w:val="nil"/>
              <w:left w:val="nil"/>
              <w:bottom w:val="single" w:sz="4" w:space="0" w:color="auto"/>
              <w:right w:val="single" w:sz="4" w:space="0" w:color="auto"/>
            </w:tcBorders>
            <w:shd w:val="clear" w:color="000000" w:fill="FFFFFF"/>
            <w:vAlign w:val="center"/>
          </w:tcPr>
          <w:p w:rsidR="00166C58" w:rsidRPr="00166C58" w:rsidRDefault="00166C58" w:rsidP="00166C58">
            <w:pPr>
              <w:spacing w:after="0" w:line="240" w:lineRule="auto"/>
              <w:jc w:val="center"/>
              <w:rPr>
                <w:rFonts w:ascii="Times New Roman" w:eastAsia="Times New Roman" w:hAnsi="Times New Roman" w:cs="Times New Roman"/>
                <w:i/>
                <w:iCs/>
                <w:color w:val="000000"/>
                <w:sz w:val="16"/>
                <w:szCs w:val="16"/>
                <w:lang w:val="en-US"/>
              </w:rPr>
            </w:pPr>
            <w:r w:rsidRPr="00166C58">
              <w:rPr>
                <w:rFonts w:ascii="Times New Roman" w:eastAsia="Times New Roman" w:hAnsi="Times New Roman" w:cs="Times New Roman"/>
                <w:i/>
                <w:iCs/>
                <w:color w:val="000000"/>
                <w:sz w:val="16"/>
                <w:szCs w:val="16"/>
                <w:lang w:val="en-US"/>
              </w:rPr>
              <w:t>2 151 862,2</w:t>
            </w:r>
          </w:p>
        </w:tc>
      </w:tr>
    </w:tbl>
    <w:p w:rsidR="005A1305" w:rsidRPr="00713AD5" w:rsidRDefault="005A1305" w:rsidP="00E741C8">
      <w:pPr>
        <w:pStyle w:val="ListParagraph"/>
        <w:spacing w:after="0" w:line="240" w:lineRule="auto"/>
        <w:ind w:left="0" w:firstLine="567"/>
        <w:jc w:val="both"/>
        <w:rPr>
          <w:rFonts w:ascii="Times New Roman" w:hAnsi="Times New Roman" w:cs="Times New Roman"/>
          <w:b/>
          <w:i/>
        </w:rPr>
      </w:pPr>
      <w:r w:rsidRPr="00713AD5">
        <w:rPr>
          <w:rFonts w:ascii="Times New Roman" w:hAnsi="Times New Roman" w:cs="Times New Roman"/>
          <w:b/>
          <w:i/>
        </w:rPr>
        <w:t>По отношение на техническите правила и норми</w:t>
      </w:r>
    </w:p>
    <w:p w:rsidR="005A1305" w:rsidRPr="00713AD5" w:rsidRDefault="005A1305" w:rsidP="00E741C8">
      <w:pPr>
        <w:spacing w:after="0" w:line="240" w:lineRule="auto"/>
        <w:ind w:firstLine="567"/>
        <w:jc w:val="both"/>
        <w:rPr>
          <w:rFonts w:ascii="Times New Roman" w:hAnsi="Times New Roman" w:cs="Times New Roman"/>
        </w:rPr>
      </w:pPr>
      <w:r w:rsidRPr="00713AD5">
        <w:rPr>
          <w:rFonts w:ascii="Times New Roman" w:hAnsi="Times New Roman" w:cs="Times New Roman"/>
        </w:rPr>
        <w:t xml:space="preserve">Дирекция „Технически правила и норми“ </w:t>
      </w:r>
      <w:r w:rsidRPr="00713AD5">
        <w:rPr>
          <w:rFonts w:ascii="Times New Roman" w:hAnsi="Times New Roman" w:cs="Times New Roman"/>
          <w:lang w:val="en-US"/>
        </w:rPr>
        <w:t>(</w:t>
      </w:r>
      <w:r w:rsidRPr="00713AD5">
        <w:rPr>
          <w:rFonts w:ascii="Times New Roman" w:hAnsi="Times New Roman" w:cs="Times New Roman"/>
        </w:rPr>
        <w:t>ТПН</w:t>
      </w:r>
      <w:r w:rsidRPr="00713AD5">
        <w:rPr>
          <w:rFonts w:ascii="Times New Roman" w:hAnsi="Times New Roman" w:cs="Times New Roman"/>
          <w:lang w:val="en-US"/>
        </w:rPr>
        <w:t>)</w:t>
      </w:r>
      <w:r w:rsidRPr="00713AD5">
        <w:rPr>
          <w:rFonts w:ascii="Times New Roman" w:hAnsi="Times New Roman" w:cs="Times New Roman"/>
        </w:rPr>
        <w:t xml:space="preserve"> разработва технически нормативни актове в изпълнение на програмния формат на бюджета. Част от нормативните актове се разработват с бюджетни средства съгласно утвърдения годишен бюджет на дирекцията, а документите за които не може да се осигури финансиране се разработват в работни групи без бюджетни средства.</w:t>
      </w:r>
    </w:p>
    <w:p w:rsidR="005A1305" w:rsidRPr="00713AD5" w:rsidRDefault="005A1305" w:rsidP="005A1305">
      <w:pPr>
        <w:spacing w:after="0" w:line="240" w:lineRule="auto"/>
        <w:ind w:firstLine="567"/>
        <w:jc w:val="both"/>
        <w:rPr>
          <w:rFonts w:ascii="Times New Roman" w:hAnsi="Times New Roman" w:cs="Times New Roman"/>
        </w:rPr>
      </w:pPr>
      <w:r w:rsidRPr="00713AD5">
        <w:rPr>
          <w:rFonts w:ascii="Times New Roman" w:hAnsi="Times New Roman" w:cs="Times New Roman"/>
        </w:rPr>
        <w:t>Всяка година се наблюдава недостиг 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w:t>
      </w:r>
    </w:p>
    <w:p w:rsidR="005A1305" w:rsidRPr="00713AD5" w:rsidRDefault="005A1305" w:rsidP="005A1305">
      <w:pPr>
        <w:spacing w:after="0" w:line="240" w:lineRule="auto"/>
        <w:ind w:firstLine="567"/>
        <w:jc w:val="both"/>
        <w:rPr>
          <w:rFonts w:ascii="Times New Roman" w:hAnsi="Times New Roman" w:cs="Times New Roman"/>
        </w:rPr>
      </w:pPr>
      <w:r w:rsidRPr="00713AD5">
        <w:rPr>
          <w:rFonts w:ascii="Times New Roman" w:hAnsi="Times New Roman" w:cs="Times New Roman"/>
        </w:rPr>
        <w:t>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 и отчитане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цифрова реформа в строителния сектор, защита от радон и др.</w:t>
      </w:r>
    </w:p>
    <w:p w:rsidR="005A1305" w:rsidRPr="00713AD5" w:rsidRDefault="005A1305" w:rsidP="005A1305">
      <w:pPr>
        <w:spacing w:after="0" w:line="240" w:lineRule="auto"/>
        <w:ind w:firstLine="567"/>
        <w:jc w:val="both"/>
        <w:rPr>
          <w:rFonts w:ascii="Times New Roman" w:hAnsi="Times New Roman" w:cs="Times New Roman"/>
        </w:rPr>
      </w:pPr>
      <w:r w:rsidRPr="00713AD5">
        <w:rPr>
          <w:rFonts w:ascii="Times New Roman" w:hAnsi="Times New Roman" w:cs="Times New Roman"/>
        </w:rPr>
        <w:t xml:space="preserve">Дирекция „Технически правила и норми“ чрез отдел „Строителни продукти“ извършва административна услуга: </w:t>
      </w:r>
    </w:p>
    <w:p w:rsidR="005A1305" w:rsidRPr="00713AD5" w:rsidRDefault="005A1305" w:rsidP="005A1305">
      <w:pPr>
        <w:spacing w:after="0" w:line="240" w:lineRule="auto"/>
        <w:ind w:firstLine="567"/>
        <w:jc w:val="both"/>
        <w:rPr>
          <w:rFonts w:ascii="Times New Roman" w:hAnsi="Times New Roman" w:cs="Times New Roman"/>
        </w:rPr>
      </w:pPr>
      <w:r w:rsidRPr="00713AD5">
        <w:rPr>
          <w:rFonts w:ascii="Times New Roman" w:hAnsi="Times New Roman" w:cs="Times New Roman"/>
        </w:rPr>
        <w:t>АУ34 (2212) – Издаване на разрешение за оценяване на</w:t>
      </w:r>
      <w:r w:rsidRPr="00713AD5">
        <w:rPr>
          <w:rFonts w:ascii="Times New Roman" w:hAnsi="Times New Roman" w:cs="Times New Roman"/>
          <w:i/>
        </w:rPr>
        <w:t xml:space="preserve"> </w:t>
      </w:r>
      <w:r w:rsidRPr="00713AD5">
        <w:rPr>
          <w:rFonts w:ascii="Times New Roman" w:hAnsi="Times New Roman" w:cs="Times New Roman"/>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rsidR="005A1305" w:rsidRPr="00713AD5" w:rsidRDefault="002C1428" w:rsidP="002C1428">
      <w:pPr>
        <w:pStyle w:val="ListParagraph"/>
        <w:spacing w:after="0" w:line="240" w:lineRule="auto"/>
        <w:ind w:left="0" w:firstLine="567"/>
        <w:jc w:val="both"/>
        <w:rPr>
          <w:rFonts w:ascii="Times New Roman" w:hAnsi="Times New Roman" w:cs="Times New Roman"/>
          <w:b/>
          <w:i/>
        </w:rPr>
      </w:pPr>
      <w:r w:rsidRPr="00713AD5">
        <w:rPr>
          <w:rFonts w:ascii="Times New Roman" w:hAnsi="Times New Roman" w:cs="Times New Roman"/>
          <w:b/>
          <w:i/>
        </w:rPr>
        <w:t>По отношение на устройството на територията</w:t>
      </w:r>
    </w:p>
    <w:p w:rsidR="002C1428" w:rsidRPr="00713AD5" w:rsidRDefault="002C1428" w:rsidP="002C1428">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Разпределянето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и възлагането на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 са възложени на дирекция „Устройство на територията и административно-териториално устройство“.</w:t>
      </w:r>
    </w:p>
    <w:p w:rsidR="00B51CE3" w:rsidRPr="00713AD5" w:rsidRDefault="00B51CE3" w:rsidP="002C1428">
      <w:pPr>
        <w:spacing w:after="0" w:line="240" w:lineRule="auto"/>
        <w:ind w:firstLine="567"/>
        <w:jc w:val="both"/>
        <w:rPr>
          <w:rFonts w:ascii="Times New Roman" w:hAnsi="Times New Roman" w:cs="Times New Roman"/>
          <w:b/>
          <w:i/>
          <w:color w:val="000000" w:themeColor="text1"/>
        </w:rPr>
      </w:pPr>
      <w:r w:rsidRPr="00713AD5">
        <w:rPr>
          <w:rFonts w:ascii="Times New Roman" w:hAnsi="Times New Roman" w:cs="Times New Roman"/>
          <w:b/>
          <w:i/>
          <w:color w:val="000000" w:themeColor="text1"/>
        </w:rPr>
        <w:t>По отношение на геозащитата</w:t>
      </w:r>
    </w:p>
    <w:p w:rsidR="00B51CE3" w:rsidRPr="00713AD5" w:rsidRDefault="00B51CE3" w:rsidP="00B51CE3">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Осъществяват се дейности за регистриране и мониторинг на свлачищни райони и превантивни мерки и дейности в регистрирани свлачищни райони на територията на Република България. 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ЕООД – Варна, „Геозащита Плевен“ ЕООД и „Геозащита Перник“ ЕООД. Превантивните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B51CE3" w:rsidRPr="00713AD5" w:rsidRDefault="00B51CE3" w:rsidP="00B51CE3">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Също така се извършват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r w:rsidRPr="00713AD5">
        <w:rPr>
          <w:rFonts w:ascii="Times New Roman" w:eastAsia="Times New Roman" w:hAnsi="Times New Roman" w:cs="Times New Roman"/>
          <w:bCs/>
          <w:color w:val="000000"/>
          <w:sz w:val="24"/>
          <w:szCs w:val="24"/>
          <w:lang w:eastAsia="bg-BG"/>
        </w:rPr>
        <w:t xml:space="preserve"> </w:t>
      </w:r>
      <w:r w:rsidRPr="00713AD5">
        <w:rPr>
          <w:rFonts w:ascii="Times New Roman" w:hAnsi="Times New Roman" w:cs="Times New Roman"/>
          <w:bCs/>
          <w:color w:val="000000" w:themeColor="text1"/>
        </w:rPr>
        <w:t>Дейностите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w:t>
      </w:r>
      <w:r w:rsidRPr="00713AD5">
        <w:rPr>
          <w:rFonts w:ascii="Times New Roman" w:hAnsi="Times New Roman" w:cs="Times New Roman"/>
          <w:color w:val="000000" w:themeColor="text1"/>
        </w:rPr>
        <w:t xml:space="preserve"> </w:t>
      </w:r>
      <w:r w:rsidRPr="00713AD5">
        <w:rPr>
          <w:rFonts w:ascii="Times New Roman" w:hAnsi="Times New Roman" w:cs="Times New Roman"/>
          <w:bCs/>
          <w:color w:val="000000" w:themeColor="text1"/>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B51CE3" w:rsidRPr="00713AD5" w:rsidRDefault="00B51CE3" w:rsidP="00B51CE3">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w:t>
      </w:r>
    </w:p>
    <w:p w:rsidR="00B51CE3" w:rsidRPr="00713AD5" w:rsidRDefault="00B51CE3" w:rsidP="002C1428">
      <w:pPr>
        <w:spacing w:after="0" w:line="240" w:lineRule="auto"/>
        <w:ind w:firstLine="567"/>
        <w:jc w:val="both"/>
        <w:rPr>
          <w:rFonts w:ascii="Times New Roman" w:hAnsi="Times New Roman" w:cs="Times New Roman"/>
          <w:b/>
          <w:i/>
          <w:color w:val="000000" w:themeColor="text1"/>
        </w:rPr>
      </w:pPr>
      <w:r w:rsidRPr="00713AD5">
        <w:rPr>
          <w:rFonts w:ascii="Times New Roman" w:hAnsi="Times New Roman" w:cs="Times New Roman"/>
          <w:b/>
          <w:i/>
          <w:color w:val="000000" w:themeColor="text1"/>
        </w:rPr>
        <w:t>По отношение на благоустройството</w:t>
      </w:r>
    </w:p>
    <w:p w:rsidR="00B51CE3" w:rsidRPr="00713AD5" w:rsidRDefault="00B51CE3" w:rsidP="00B51CE3">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2025-2027 г. ще продължи подпомагането на общинските администрации за реализация на обекти. Предложенията се анализират, като за част от тях основното е: дейностите да са за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техническата готовност на обектите. </w:t>
      </w:r>
    </w:p>
    <w:p w:rsidR="00B51CE3" w:rsidRPr="00713AD5" w:rsidRDefault="00B51CE3" w:rsidP="00B51CE3">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 xml:space="preserve">Също така през 2022 и 2023 г. са сключени споразумения за трансфер на средства за обекти на територията на общините Летница, Правец, Родопи, Първомай, Рудозем, Варна, Върбица, Кнежа, Гурково, Бяла Слатина, Цар Калоян, Левски, които са със срок на завършване през 2024 и 2025 г. </w:t>
      </w:r>
    </w:p>
    <w:p w:rsidR="00B51CE3" w:rsidRPr="00713AD5" w:rsidRDefault="00B51CE3" w:rsidP="002C1428">
      <w:pPr>
        <w:spacing w:after="0" w:line="240" w:lineRule="auto"/>
        <w:ind w:firstLine="567"/>
        <w:jc w:val="both"/>
        <w:rPr>
          <w:rFonts w:ascii="Times New Roman" w:hAnsi="Times New Roman" w:cs="Times New Roman"/>
          <w:color w:val="000000" w:themeColor="text1"/>
        </w:rPr>
      </w:pPr>
      <w:r w:rsidRPr="00713AD5">
        <w:rPr>
          <w:rFonts w:ascii="Times New Roman" w:hAnsi="Times New Roman" w:cs="Times New Roman"/>
          <w:b/>
          <w:i/>
          <w:color w:val="000000" w:themeColor="text1"/>
        </w:rPr>
        <w:t xml:space="preserve">По отношение на водоснабдяването и канализацията, </w:t>
      </w:r>
      <w:r w:rsidRPr="00713AD5">
        <w:rPr>
          <w:rFonts w:ascii="Times New Roman" w:hAnsi="Times New Roman" w:cs="Times New Roman"/>
          <w:color w:val="000000" w:themeColor="text1"/>
        </w:rPr>
        <w:t>се управляват следните проекти:</w:t>
      </w:r>
    </w:p>
    <w:p w:rsidR="00B51CE3" w:rsidRPr="00713AD5" w:rsidRDefault="00B51CE3" w:rsidP="00B51CE3">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„Проект Развитие на общинска инфраструктура“ (ПРОИ)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2023 г. всички проекти, част от ПРОИ, с изключение на обект „Строителство на язовир „Луда Яна“ и пречиствателна станция за питейни води (ПСПВ)“ са приключили. През тригодишния програмен период ще продължи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м. октомври 2024 г., след което предстои въвеждане на обекта в експлоатация, една година период за съобщаване на дефекти и финални разплащания по договорите.</w:t>
      </w:r>
    </w:p>
    <w:p w:rsidR="00B51CE3" w:rsidRPr="00713AD5" w:rsidRDefault="00B51CE3" w:rsidP="00B51CE3">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 xml:space="preserve">ПСПВ „Сливен“ –  през 2024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2024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до края на 2024 г., като строителството ще се изпълнява в периода 2025 – 2026 г.; </w:t>
      </w:r>
    </w:p>
    <w:p w:rsidR="00B51CE3" w:rsidRPr="00713AD5" w:rsidRDefault="00B51CE3" w:rsidP="00B51CE3">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Хидровъзел „Христо Смирненски“ – през 2024 г. предстои избор на изпълнител за обследване и съставяне на технически паспорт на язовира и съоръженията към него.</w:t>
      </w:r>
      <w:r w:rsidRPr="00713AD5">
        <w:rPr>
          <w:rFonts w:ascii="Times New Roman" w:hAnsi="Times New Roman" w:cs="Times New Roman"/>
          <w:iCs/>
          <w:color w:val="000000" w:themeColor="text1"/>
        </w:rPr>
        <w:t xml:space="preserve"> След изготвяне на техническия паспорт, през 2025 г. ще бъде стартирана</w:t>
      </w:r>
      <w:r w:rsidRPr="00713AD5">
        <w:rPr>
          <w:rFonts w:ascii="Times New Roman" w:hAnsi="Times New Roman" w:cs="Times New Roman"/>
          <w:color w:val="000000" w:themeColor="text1"/>
        </w:rPr>
        <w:t xml:space="preserve"> процедура по Закона за обществените поръчки за избор на изпълнител </w:t>
      </w:r>
      <w:r w:rsidRPr="00713AD5">
        <w:rPr>
          <w:rFonts w:ascii="Times New Roman" w:hAnsi="Times New Roman" w:cs="Times New Roman"/>
          <w:iCs/>
          <w:color w:val="000000" w:themeColor="text1"/>
        </w:rPr>
        <w:t xml:space="preserve">за проектиране, а през 2026 г. ще стартират процедури за </w:t>
      </w:r>
      <w:r w:rsidRPr="00713AD5">
        <w:rPr>
          <w:rFonts w:ascii="Times New Roman" w:hAnsi="Times New Roman" w:cs="Times New Roman"/>
          <w:color w:val="000000" w:themeColor="text1"/>
        </w:rPr>
        <w:t xml:space="preserve">строителен надзор и за СМР </w:t>
      </w:r>
      <w:r w:rsidRPr="00713AD5">
        <w:rPr>
          <w:rFonts w:ascii="Times New Roman" w:hAnsi="Times New Roman" w:cs="Times New Roman"/>
          <w:iCs/>
          <w:color w:val="000000" w:themeColor="text1"/>
        </w:rPr>
        <w:t xml:space="preserve">за реконструкцията на част от </w:t>
      </w:r>
      <w:r w:rsidRPr="00713AD5">
        <w:rPr>
          <w:rFonts w:ascii="Times New Roman" w:hAnsi="Times New Roman" w:cs="Times New Roman"/>
          <w:bCs/>
          <w:iCs/>
          <w:color w:val="000000" w:themeColor="text1"/>
        </w:rPr>
        <w:t>хидротехническите съоръжения</w:t>
      </w:r>
      <w:r w:rsidRPr="00713AD5">
        <w:rPr>
          <w:rFonts w:ascii="Times New Roman" w:hAnsi="Times New Roman" w:cs="Times New Roman"/>
          <w:bCs/>
          <w:iCs/>
          <w:color w:val="000000" w:themeColor="text1"/>
          <w:lang w:val="en-US"/>
        </w:rPr>
        <w:t xml:space="preserve"> (водовземна кула, преливник, бързоток)</w:t>
      </w:r>
      <w:r w:rsidRPr="00713AD5">
        <w:rPr>
          <w:rFonts w:ascii="Times New Roman" w:hAnsi="Times New Roman" w:cs="Times New Roman"/>
          <w:bCs/>
          <w:iCs/>
          <w:color w:val="000000" w:themeColor="text1"/>
        </w:rPr>
        <w:t>;</w:t>
      </w:r>
    </w:p>
    <w:p w:rsidR="00B51CE3" w:rsidRPr="00713AD5" w:rsidRDefault="00B51CE3" w:rsidP="00B51CE3">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системи и следгаранционното им обслужване. Предвидено е през 2024 г. да стартира процедура по ЗОП за избор на изпълнител, като прогнозата дейностите да се изпълняват в периода 2024 – 2027 г.; </w:t>
      </w:r>
    </w:p>
    <w:p w:rsidR="00B51CE3" w:rsidRPr="00713AD5" w:rsidRDefault="00B51CE3" w:rsidP="00B51CE3">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713AD5" w:rsidDel="00BA539E">
        <w:rPr>
          <w:rFonts w:ascii="Times New Roman" w:hAnsi="Times New Roman" w:cs="Times New Roman"/>
          <w:color w:val="000000" w:themeColor="text1"/>
        </w:rPr>
        <w:t xml:space="preserve"> </w:t>
      </w:r>
      <w:r w:rsidRPr="00713AD5">
        <w:rPr>
          <w:rFonts w:ascii="Times New Roman" w:hAnsi="Times New Roman" w:cs="Times New Roman"/>
          <w:color w:val="000000" w:themeColor="text1"/>
        </w:rPr>
        <w:t>– 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2024 г. МРРБ да стартира процедура по ЗОП за избор на изпълнител, като дейностите ще се изпълняват през 2024 г. и 2025 г.</w:t>
      </w:r>
    </w:p>
    <w:p w:rsidR="00B51CE3" w:rsidRPr="00713AD5" w:rsidRDefault="00B51CE3" w:rsidP="00713AD5">
      <w:pPr>
        <w:numPr>
          <w:ilvl w:val="1"/>
          <w:numId w:val="18"/>
        </w:numPr>
        <w:tabs>
          <w:tab w:val="clear" w:pos="274"/>
          <w:tab w:val="num" w:pos="0"/>
        </w:tabs>
        <w:spacing w:after="0" w:line="240" w:lineRule="auto"/>
        <w:ind w:left="0" w:firstLine="567"/>
        <w:jc w:val="both"/>
        <w:rPr>
          <w:rFonts w:ascii="Times New Roman" w:hAnsi="Times New Roman" w:cs="Times New Roman"/>
          <w:color w:val="000000" w:themeColor="text1"/>
        </w:rPr>
      </w:pPr>
      <w:r w:rsidRPr="00713AD5">
        <w:rPr>
          <w:rFonts w:ascii="Times New Roman" w:hAnsi="Times New Roman" w:cs="Times New Roman"/>
          <w:color w:val="000000" w:themeColor="text1"/>
        </w:rPr>
        <w:t>Обекти – ВиК инфраструктура, финансирани чрез споразумения с конкретни Общини / Областни администрации – Провеждайки политиката в отрасъл ВиК и за постигане на поставените цели, в периода на тригодишната бюджетна прогноза МРРБ, в рамките на годишните финансови възможности, ще продължи да подпомага собствениците на публичната ВиК инфраструктура – общини и областни администрации за реконструкция и изграждане на ВиК инфраструктурата за обезпечаване на устойчивото предоставяне на ВиК услугите. В рамките на допълнително осигурен финансов ресурс през 2023 г. по бюджетната програма, през 2024 г. ще продължи доизграждането / реконструкцията на ВиК обектите и въвеждането им в експлоатация на обектите, одобрени с РМС № 711/30.09.2022 г.;</w:t>
      </w:r>
    </w:p>
    <w:p w:rsidR="00983C19" w:rsidRPr="00503A52" w:rsidRDefault="00983C19" w:rsidP="00503A52">
      <w:pPr>
        <w:pStyle w:val="ListParagraph"/>
        <w:numPr>
          <w:ilvl w:val="0"/>
          <w:numId w:val="3"/>
        </w:numPr>
        <w:spacing w:after="0" w:line="240" w:lineRule="auto"/>
        <w:jc w:val="both"/>
        <w:rPr>
          <w:rFonts w:ascii="Times New Roman" w:hAnsi="Times New Roman" w:cs="Times New Roman"/>
          <w:b/>
          <w:i/>
          <w:color w:val="0000CC"/>
        </w:rPr>
      </w:pPr>
      <w:r w:rsidRPr="00503A52">
        <w:rPr>
          <w:rFonts w:ascii="Times New Roman" w:hAnsi="Times New Roman" w:cs="Times New Roman"/>
          <w:b/>
          <w:i/>
          <w:color w:val="0000CC"/>
        </w:rPr>
        <w:t xml:space="preserve">Ключови индикатори и целеви стойности </w:t>
      </w:r>
    </w:p>
    <w:p w:rsidR="00983C19" w:rsidRPr="00DE4284" w:rsidRDefault="00983C19" w:rsidP="00503A52">
      <w:pPr>
        <w:spacing w:after="0" w:line="240" w:lineRule="auto"/>
        <w:rPr>
          <w:rFonts w:ascii="Times New Roman" w:hAnsi="Times New Roman" w:cs="Times New Roman"/>
          <w:b/>
          <w:bCs/>
        </w:rPr>
      </w:pPr>
      <w:r w:rsidRPr="00DE4284">
        <w:rPr>
          <w:rFonts w:ascii="Times New Roman" w:hAnsi="Times New Roman" w:cs="Times New Roman"/>
          <w:b/>
          <w:bCs/>
        </w:rPr>
        <w:t>КЛЮЧОВИ ИНДИКАТОРИ ЗА ИЗПЪЛНЕНИЕ И ЦЕЛЕВИ СТОЙНОСТИ</w:t>
      </w:r>
    </w:p>
    <w:tbl>
      <w:tblPr>
        <w:tblStyle w:val="TableGrid"/>
        <w:tblW w:w="93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202"/>
        <w:gridCol w:w="1492"/>
        <w:gridCol w:w="1453"/>
        <w:gridCol w:w="1331"/>
      </w:tblGrid>
      <w:tr w:rsidR="00983C19" w:rsidRPr="007777A7" w:rsidTr="00E65B57">
        <w:trPr>
          <w:trHeight w:val="401"/>
        </w:trPr>
        <w:tc>
          <w:tcPr>
            <w:tcW w:w="3865" w:type="dxa"/>
          </w:tcPr>
          <w:p w:rsidR="00983C19" w:rsidRPr="007777A7" w:rsidRDefault="00983C19" w:rsidP="005469C0">
            <w:pPr>
              <w:jc w:val="center"/>
              <w:rPr>
                <w:rFonts w:ascii="Times New Roman" w:hAnsi="Times New Roman" w:cs="Times New Roman"/>
                <w:i/>
                <w:iCs/>
                <w:sz w:val="16"/>
                <w:szCs w:val="16"/>
              </w:rPr>
            </w:pPr>
            <w:r w:rsidRPr="007777A7">
              <w:rPr>
                <w:rFonts w:ascii="Times New Roman" w:hAnsi="Times New Roman" w:cs="Times New Roman"/>
                <w:i/>
                <w:iCs/>
                <w:sz w:val="16"/>
                <w:szCs w:val="16"/>
              </w:rPr>
              <w:t>Област на политика:</w:t>
            </w:r>
          </w:p>
          <w:p w:rsidR="00983C19" w:rsidRPr="007777A7" w:rsidRDefault="007777A7" w:rsidP="005469C0">
            <w:pPr>
              <w:jc w:val="center"/>
              <w:rPr>
                <w:rFonts w:ascii="Times New Roman" w:hAnsi="Times New Roman" w:cs="Times New Roman"/>
                <w:b/>
                <w:bCs/>
                <w:sz w:val="16"/>
                <w:szCs w:val="16"/>
              </w:rPr>
            </w:pPr>
            <w:r w:rsidRPr="007777A7">
              <w:rPr>
                <w:rFonts w:ascii="Times New Roman" w:eastAsia="Times New Roman" w:hAnsi="Times New Roman" w:cs="Times New Roman"/>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202" w:type="dxa"/>
            <w:vMerge w:val="restart"/>
            <w:shd w:val="clear" w:color="auto" w:fill="F2F2F2" w:themeFill="background1" w:themeFillShade="F2"/>
          </w:tcPr>
          <w:p w:rsidR="00983C19" w:rsidRPr="007777A7" w:rsidRDefault="00983C19" w:rsidP="005469C0">
            <w:pPr>
              <w:spacing w:before="240"/>
              <w:jc w:val="center"/>
              <w:rPr>
                <w:rFonts w:ascii="Times New Roman" w:hAnsi="Times New Roman" w:cs="Times New Roman"/>
                <w:b/>
                <w:bCs/>
                <w:sz w:val="16"/>
                <w:szCs w:val="16"/>
              </w:rPr>
            </w:pPr>
            <w:r w:rsidRPr="007777A7">
              <w:rPr>
                <w:rFonts w:ascii="Times New Roman" w:hAnsi="Times New Roman" w:cs="Times New Roman"/>
                <w:b/>
                <w:bCs/>
                <w:sz w:val="16"/>
                <w:szCs w:val="16"/>
              </w:rPr>
              <w:t>Мерна единица</w:t>
            </w:r>
          </w:p>
        </w:tc>
        <w:tc>
          <w:tcPr>
            <w:tcW w:w="4276" w:type="dxa"/>
            <w:gridSpan w:val="3"/>
            <w:tcBorders>
              <w:top w:val="single" w:sz="4" w:space="0" w:color="auto"/>
              <w:bottom w:val="single" w:sz="4" w:space="0" w:color="auto"/>
            </w:tcBorders>
          </w:tcPr>
          <w:p w:rsidR="00983C19" w:rsidRPr="007777A7" w:rsidRDefault="00983C19" w:rsidP="005469C0">
            <w:pPr>
              <w:spacing w:before="120"/>
              <w:jc w:val="center"/>
              <w:rPr>
                <w:rFonts w:ascii="Times New Roman" w:hAnsi="Times New Roman" w:cs="Times New Roman"/>
                <w:b/>
                <w:bCs/>
                <w:sz w:val="16"/>
                <w:szCs w:val="16"/>
              </w:rPr>
            </w:pPr>
            <w:r w:rsidRPr="007777A7">
              <w:rPr>
                <w:rFonts w:ascii="Times New Roman" w:hAnsi="Times New Roman" w:cs="Times New Roman"/>
                <w:b/>
                <w:bCs/>
                <w:sz w:val="16"/>
                <w:szCs w:val="16"/>
              </w:rPr>
              <w:t>Целева стойност</w:t>
            </w:r>
          </w:p>
        </w:tc>
      </w:tr>
      <w:tr w:rsidR="00983C19" w:rsidRPr="007777A7" w:rsidTr="00F95E99">
        <w:trPr>
          <w:trHeight w:val="402"/>
        </w:trPr>
        <w:tc>
          <w:tcPr>
            <w:tcW w:w="3865" w:type="dxa"/>
            <w:tcBorders>
              <w:bottom w:val="single" w:sz="4" w:space="0" w:color="auto"/>
            </w:tcBorders>
          </w:tcPr>
          <w:p w:rsidR="00983C19" w:rsidRPr="007777A7" w:rsidRDefault="00983C19" w:rsidP="005469C0">
            <w:pPr>
              <w:spacing w:before="120"/>
              <w:jc w:val="center"/>
              <w:rPr>
                <w:rFonts w:ascii="Times New Roman" w:hAnsi="Times New Roman" w:cs="Times New Roman"/>
                <w:b/>
                <w:bCs/>
                <w:sz w:val="16"/>
                <w:szCs w:val="16"/>
              </w:rPr>
            </w:pPr>
            <w:r w:rsidRPr="007777A7">
              <w:rPr>
                <w:rFonts w:ascii="Times New Roman" w:hAnsi="Times New Roman" w:cs="Times New Roman"/>
                <w:b/>
                <w:bCs/>
                <w:sz w:val="16"/>
                <w:szCs w:val="16"/>
              </w:rPr>
              <w:t>Наименование на индикатора</w:t>
            </w:r>
          </w:p>
        </w:tc>
        <w:tc>
          <w:tcPr>
            <w:tcW w:w="1202" w:type="dxa"/>
            <w:vMerge/>
            <w:tcBorders>
              <w:bottom w:val="single" w:sz="4" w:space="0" w:color="auto"/>
            </w:tcBorders>
            <w:shd w:val="clear" w:color="auto" w:fill="F2F2F2" w:themeFill="background1" w:themeFillShade="F2"/>
          </w:tcPr>
          <w:p w:rsidR="00983C19" w:rsidRPr="007777A7" w:rsidRDefault="00983C19" w:rsidP="005469C0">
            <w:pPr>
              <w:jc w:val="center"/>
              <w:rPr>
                <w:rFonts w:ascii="Times New Roman" w:hAnsi="Times New Roman" w:cs="Times New Roman"/>
                <w:b/>
                <w:bCs/>
                <w:sz w:val="16"/>
                <w:szCs w:val="16"/>
              </w:rPr>
            </w:pPr>
          </w:p>
        </w:tc>
        <w:tc>
          <w:tcPr>
            <w:tcW w:w="1492" w:type="dxa"/>
            <w:tcBorders>
              <w:top w:val="single" w:sz="4" w:space="0" w:color="auto"/>
              <w:bottom w:val="single" w:sz="4" w:space="0" w:color="auto"/>
            </w:tcBorders>
          </w:tcPr>
          <w:p w:rsidR="00983C19" w:rsidRPr="007777A7" w:rsidRDefault="00983C19" w:rsidP="005469C0">
            <w:pPr>
              <w:jc w:val="center"/>
              <w:rPr>
                <w:rFonts w:ascii="Times New Roman" w:hAnsi="Times New Roman" w:cs="Times New Roman"/>
                <w:b/>
                <w:bCs/>
                <w:i/>
                <w:iCs/>
                <w:sz w:val="16"/>
                <w:szCs w:val="16"/>
              </w:rPr>
            </w:pPr>
            <w:r w:rsidRPr="007777A7">
              <w:rPr>
                <w:rFonts w:ascii="Times New Roman" w:hAnsi="Times New Roman" w:cs="Times New Roman"/>
                <w:b/>
                <w:bCs/>
                <w:i/>
                <w:iCs/>
                <w:sz w:val="16"/>
                <w:szCs w:val="16"/>
              </w:rPr>
              <w:t>Прогноза</w:t>
            </w:r>
          </w:p>
          <w:p w:rsidR="00983C19" w:rsidRPr="007777A7" w:rsidRDefault="00983C19" w:rsidP="005469C0">
            <w:pPr>
              <w:jc w:val="center"/>
              <w:rPr>
                <w:rFonts w:ascii="Times New Roman" w:hAnsi="Times New Roman" w:cs="Times New Roman"/>
                <w:b/>
                <w:bCs/>
                <w:sz w:val="16"/>
                <w:szCs w:val="16"/>
              </w:rPr>
            </w:pPr>
            <w:r w:rsidRPr="007777A7">
              <w:rPr>
                <w:rFonts w:ascii="Times New Roman" w:hAnsi="Times New Roman" w:cs="Times New Roman"/>
                <w:b/>
                <w:bCs/>
                <w:i/>
                <w:iCs/>
                <w:sz w:val="16"/>
                <w:szCs w:val="16"/>
              </w:rPr>
              <w:t>20</w:t>
            </w:r>
            <w:r w:rsidRPr="007777A7">
              <w:rPr>
                <w:rFonts w:ascii="Times New Roman" w:hAnsi="Times New Roman" w:cs="Times New Roman"/>
                <w:b/>
                <w:bCs/>
                <w:i/>
                <w:iCs/>
                <w:sz w:val="16"/>
                <w:szCs w:val="16"/>
                <w:lang w:val="en-US"/>
              </w:rPr>
              <w:t>2</w:t>
            </w:r>
            <w:r w:rsidRPr="007777A7">
              <w:rPr>
                <w:rFonts w:ascii="Times New Roman" w:hAnsi="Times New Roman" w:cs="Times New Roman"/>
                <w:b/>
                <w:bCs/>
                <w:i/>
                <w:iCs/>
                <w:sz w:val="16"/>
                <w:szCs w:val="16"/>
              </w:rPr>
              <w:t>5 г.</w:t>
            </w:r>
          </w:p>
        </w:tc>
        <w:tc>
          <w:tcPr>
            <w:tcW w:w="1453" w:type="dxa"/>
            <w:tcBorders>
              <w:top w:val="single" w:sz="4" w:space="0" w:color="auto"/>
              <w:bottom w:val="single" w:sz="4" w:space="0" w:color="auto"/>
            </w:tcBorders>
          </w:tcPr>
          <w:p w:rsidR="00983C19" w:rsidRPr="007777A7" w:rsidRDefault="00983C19" w:rsidP="005469C0">
            <w:pPr>
              <w:jc w:val="center"/>
              <w:rPr>
                <w:rFonts w:ascii="Times New Roman" w:hAnsi="Times New Roman" w:cs="Times New Roman"/>
                <w:b/>
                <w:bCs/>
                <w:i/>
                <w:iCs/>
                <w:sz w:val="16"/>
                <w:szCs w:val="16"/>
              </w:rPr>
            </w:pPr>
            <w:r w:rsidRPr="007777A7">
              <w:rPr>
                <w:rFonts w:ascii="Times New Roman" w:hAnsi="Times New Roman" w:cs="Times New Roman"/>
                <w:b/>
                <w:bCs/>
                <w:i/>
                <w:iCs/>
                <w:sz w:val="16"/>
                <w:szCs w:val="16"/>
              </w:rPr>
              <w:t>Прогноза</w:t>
            </w:r>
          </w:p>
          <w:p w:rsidR="00983C19" w:rsidRPr="007777A7" w:rsidRDefault="00983C19" w:rsidP="005469C0">
            <w:pPr>
              <w:jc w:val="center"/>
              <w:rPr>
                <w:rFonts w:ascii="Times New Roman" w:hAnsi="Times New Roman" w:cs="Times New Roman"/>
                <w:b/>
                <w:bCs/>
                <w:sz w:val="16"/>
                <w:szCs w:val="16"/>
              </w:rPr>
            </w:pPr>
            <w:r w:rsidRPr="007777A7">
              <w:rPr>
                <w:rFonts w:ascii="Times New Roman" w:hAnsi="Times New Roman" w:cs="Times New Roman"/>
                <w:b/>
                <w:bCs/>
                <w:i/>
                <w:iCs/>
                <w:sz w:val="16"/>
                <w:szCs w:val="16"/>
              </w:rPr>
              <w:t>20</w:t>
            </w:r>
            <w:r w:rsidRPr="007777A7">
              <w:rPr>
                <w:rFonts w:ascii="Times New Roman" w:hAnsi="Times New Roman" w:cs="Times New Roman"/>
                <w:b/>
                <w:bCs/>
                <w:i/>
                <w:iCs/>
                <w:sz w:val="16"/>
                <w:szCs w:val="16"/>
                <w:lang w:val="en-US"/>
              </w:rPr>
              <w:t>2</w:t>
            </w:r>
            <w:r w:rsidRPr="007777A7">
              <w:rPr>
                <w:rFonts w:ascii="Times New Roman" w:hAnsi="Times New Roman" w:cs="Times New Roman"/>
                <w:b/>
                <w:bCs/>
                <w:i/>
                <w:iCs/>
                <w:sz w:val="16"/>
                <w:szCs w:val="16"/>
              </w:rPr>
              <w:t>6 г.</w:t>
            </w:r>
          </w:p>
        </w:tc>
        <w:tc>
          <w:tcPr>
            <w:tcW w:w="1331" w:type="dxa"/>
            <w:tcBorders>
              <w:top w:val="single" w:sz="4" w:space="0" w:color="auto"/>
              <w:bottom w:val="single" w:sz="4" w:space="0" w:color="auto"/>
            </w:tcBorders>
          </w:tcPr>
          <w:p w:rsidR="00983C19" w:rsidRPr="007777A7" w:rsidRDefault="00983C19" w:rsidP="005469C0">
            <w:pPr>
              <w:jc w:val="center"/>
              <w:rPr>
                <w:rFonts w:ascii="Times New Roman" w:hAnsi="Times New Roman" w:cs="Times New Roman"/>
                <w:b/>
                <w:bCs/>
                <w:i/>
                <w:iCs/>
                <w:sz w:val="16"/>
                <w:szCs w:val="16"/>
              </w:rPr>
            </w:pPr>
            <w:r w:rsidRPr="007777A7">
              <w:rPr>
                <w:rFonts w:ascii="Times New Roman" w:hAnsi="Times New Roman" w:cs="Times New Roman"/>
                <w:b/>
                <w:bCs/>
                <w:i/>
                <w:iCs/>
                <w:sz w:val="16"/>
                <w:szCs w:val="16"/>
              </w:rPr>
              <w:t>Прогноза</w:t>
            </w:r>
          </w:p>
          <w:p w:rsidR="00983C19" w:rsidRPr="007777A7" w:rsidRDefault="00983C19" w:rsidP="005469C0">
            <w:pPr>
              <w:jc w:val="center"/>
              <w:rPr>
                <w:rFonts w:ascii="Times New Roman" w:hAnsi="Times New Roman" w:cs="Times New Roman"/>
                <w:b/>
                <w:bCs/>
                <w:sz w:val="16"/>
                <w:szCs w:val="16"/>
              </w:rPr>
            </w:pPr>
            <w:r w:rsidRPr="007777A7">
              <w:rPr>
                <w:rFonts w:ascii="Times New Roman" w:hAnsi="Times New Roman" w:cs="Times New Roman"/>
                <w:b/>
                <w:bCs/>
                <w:i/>
                <w:iCs/>
                <w:sz w:val="16"/>
                <w:szCs w:val="16"/>
              </w:rPr>
              <w:t>20</w:t>
            </w:r>
            <w:r w:rsidRPr="007777A7">
              <w:rPr>
                <w:rFonts w:ascii="Times New Roman" w:hAnsi="Times New Roman" w:cs="Times New Roman"/>
                <w:b/>
                <w:bCs/>
                <w:i/>
                <w:iCs/>
                <w:sz w:val="16"/>
                <w:szCs w:val="16"/>
                <w:lang w:val="en-US"/>
              </w:rPr>
              <w:t>2</w:t>
            </w:r>
            <w:r w:rsidRPr="007777A7">
              <w:rPr>
                <w:rFonts w:ascii="Times New Roman" w:hAnsi="Times New Roman" w:cs="Times New Roman"/>
                <w:b/>
                <w:bCs/>
                <w:i/>
                <w:iCs/>
                <w:sz w:val="16"/>
                <w:szCs w:val="16"/>
              </w:rPr>
              <w:t>7 г.</w:t>
            </w:r>
          </w:p>
        </w:tc>
      </w:tr>
      <w:tr w:rsidR="00CC6C21" w:rsidRPr="007777A7" w:rsidTr="00F95E99">
        <w:trPr>
          <w:trHeight w:val="196"/>
        </w:trPr>
        <w:tc>
          <w:tcPr>
            <w:tcW w:w="3865" w:type="dxa"/>
            <w:tcBorders>
              <w:top w:val="single" w:sz="4" w:space="0" w:color="auto"/>
              <w:bottom w:val="nil"/>
            </w:tcBorders>
          </w:tcPr>
          <w:p w:rsidR="00CC6C21" w:rsidRPr="00713AD5" w:rsidRDefault="00CC6C21" w:rsidP="00E741C8">
            <w:pPr>
              <w:pStyle w:val="ListParagraph"/>
              <w:numPr>
                <w:ilvl w:val="0"/>
                <w:numId w:val="11"/>
              </w:numPr>
              <w:tabs>
                <w:tab w:val="left" w:pos="240"/>
              </w:tabs>
              <w:ind w:left="37" w:firstLine="0"/>
              <w:jc w:val="both"/>
              <w:rPr>
                <w:rFonts w:ascii="Times New Roman" w:eastAsia="Calibri" w:hAnsi="Times New Roman" w:cs="Times New Roman"/>
                <w:bCs/>
                <w:sz w:val="16"/>
                <w:szCs w:val="16"/>
                <w:lang w:eastAsia="bg-BG"/>
              </w:rPr>
            </w:pPr>
            <w:r w:rsidRPr="00713AD5">
              <w:rPr>
                <w:rFonts w:ascii="Times New Roman" w:eastAsia="Calibri" w:hAnsi="Times New Roman" w:cs="Times New Roman"/>
                <w:bCs/>
                <w:sz w:val="16"/>
                <w:szCs w:val="16"/>
                <w:lang w:eastAsia="bg-BG"/>
              </w:rPr>
              <w:t xml:space="preserve">„Подобряване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w:t>
            </w:r>
            <w:r w:rsidRPr="00713AD5">
              <w:rPr>
                <w:rFonts w:ascii="Times New Roman" w:eastAsia="Calibri" w:hAnsi="Times New Roman" w:cs="Times New Roman"/>
                <w:bCs/>
                <w:sz w:val="16"/>
                <w:szCs w:val="16"/>
                <w:lang w:val="en-US" w:eastAsia="bg-BG"/>
              </w:rPr>
              <w:t xml:space="preserve">I, II </w:t>
            </w:r>
            <w:r w:rsidRPr="00713AD5">
              <w:rPr>
                <w:rFonts w:ascii="Times New Roman" w:eastAsia="Calibri" w:hAnsi="Times New Roman" w:cs="Times New Roman"/>
                <w:bCs/>
                <w:sz w:val="16"/>
                <w:szCs w:val="16"/>
                <w:lang w:eastAsia="bg-BG"/>
              </w:rPr>
              <w:t xml:space="preserve">и </w:t>
            </w:r>
            <w:r w:rsidRPr="00713AD5">
              <w:rPr>
                <w:rFonts w:ascii="Times New Roman" w:eastAsia="Calibri" w:hAnsi="Times New Roman" w:cs="Times New Roman"/>
                <w:bCs/>
                <w:sz w:val="16"/>
                <w:szCs w:val="16"/>
                <w:lang w:val="en-US" w:eastAsia="bg-BG"/>
              </w:rPr>
              <w:t xml:space="preserve">III </w:t>
            </w:r>
            <w:r w:rsidRPr="00713AD5">
              <w:rPr>
                <w:rFonts w:ascii="Times New Roman" w:eastAsia="Calibri" w:hAnsi="Times New Roman" w:cs="Times New Roman"/>
                <w:bCs/>
                <w:sz w:val="16"/>
                <w:szCs w:val="16"/>
                <w:lang w:eastAsia="bg-BG"/>
              </w:rPr>
              <w:t>категория,“</w:t>
            </w:r>
          </w:p>
        </w:tc>
        <w:tc>
          <w:tcPr>
            <w:tcW w:w="1202" w:type="dxa"/>
            <w:tcBorders>
              <w:top w:val="single" w:sz="4" w:space="0" w:color="auto"/>
              <w:bottom w:val="nil"/>
            </w:tcBorders>
            <w:shd w:val="clear" w:color="auto" w:fill="F2F2F2" w:themeFill="background1" w:themeFillShade="F2"/>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w:t>
            </w:r>
          </w:p>
        </w:tc>
        <w:tc>
          <w:tcPr>
            <w:tcW w:w="1492" w:type="dxa"/>
            <w:tcBorders>
              <w:top w:val="single" w:sz="4" w:space="0" w:color="auto"/>
              <w:bottom w:val="nil"/>
            </w:tcBorders>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100</w:t>
            </w:r>
          </w:p>
        </w:tc>
        <w:tc>
          <w:tcPr>
            <w:tcW w:w="1453" w:type="dxa"/>
            <w:tcBorders>
              <w:top w:val="single" w:sz="4" w:space="0" w:color="auto"/>
              <w:bottom w:val="nil"/>
            </w:tcBorders>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100</w:t>
            </w:r>
          </w:p>
        </w:tc>
        <w:tc>
          <w:tcPr>
            <w:tcW w:w="1331" w:type="dxa"/>
            <w:tcBorders>
              <w:top w:val="single" w:sz="4" w:space="0" w:color="auto"/>
              <w:bottom w:val="nil"/>
            </w:tcBorders>
            <w:vAlign w:val="center"/>
          </w:tcPr>
          <w:p w:rsidR="00CC6C21" w:rsidRPr="00713AD5" w:rsidRDefault="00CC6C21"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100</w:t>
            </w:r>
          </w:p>
        </w:tc>
      </w:tr>
      <w:tr w:rsidR="00CC6C21" w:rsidRPr="007777A7" w:rsidTr="00F95E99">
        <w:trPr>
          <w:trHeight w:val="196"/>
        </w:trPr>
        <w:tc>
          <w:tcPr>
            <w:tcW w:w="3865" w:type="dxa"/>
            <w:tcBorders>
              <w:top w:val="nil"/>
            </w:tcBorders>
          </w:tcPr>
          <w:p w:rsidR="00CC6C21" w:rsidRPr="00713AD5" w:rsidRDefault="00E741C8" w:rsidP="00E741C8">
            <w:pPr>
              <w:tabs>
                <w:tab w:val="left" w:pos="175"/>
              </w:tabs>
              <w:jc w:val="both"/>
              <w:rPr>
                <w:rFonts w:ascii="Times New Roman" w:hAnsi="Times New Roman" w:cs="Times New Roman"/>
                <w:bCs/>
                <w:sz w:val="16"/>
                <w:szCs w:val="16"/>
              </w:rPr>
            </w:pPr>
            <w:r w:rsidRPr="00713AD5">
              <w:rPr>
                <w:rFonts w:ascii="Times New Roman" w:hAnsi="Times New Roman" w:cs="Times New Roman"/>
                <w:sz w:val="16"/>
                <w:szCs w:val="16"/>
              </w:rPr>
              <w:t>2.</w:t>
            </w:r>
            <w:r w:rsidR="00CC6C21" w:rsidRPr="00713AD5">
              <w:rPr>
                <w:rFonts w:ascii="Times New Roman" w:hAnsi="Times New Roman" w:cs="Times New Roman"/>
                <w:sz w:val="16"/>
                <w:szCs w:val="16"/>
                <w:lang w:val="en-US"/>
              </w:rPr>
              <w:t>“</w:t>
            </w:r>
            <w:r w:rsidR="00CC6C21" w:rsidRPr="00713AD5">
              <w:rPr>
                <w:rFonts w:ascii="Times New Roman" w:eastAsia="Calibri" w:hAnsi="Times New Roman" w:cs="Times New Roman"/>
                <w:bCs/>
                <w:sz w:val="16"/>
                <w:szCs w:val="16"/>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1202" w:type="dxa"/>
            <w:tcBorders>
              <w:top w:val="nil"/>
            </w:tcBorders>
            <w:shd w:val="clear" w:color="auto" w:fill="F2F2F2" w:themeFill="background1" w:themeFillShade="F2"/>
            <w:vAlign w:val="center"/>
          </w:tcPr>
          <w:p w:rsidR="00CC6C21" w:rsidRPr="00713AD5" w:rsidRDefault="00CC6C21"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w:t>
            </w:r>
          </w:p>
        </w:tc>
        <w:tc>
          <w:tcPr>
            <w:tcW w:w="1492" w:type="dxa"/>
            <w:tcBorders>
              <w:top w:val="nil"/>
            </w:tcBorders>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Min.</w:t>
            </w:r>
            <w:r w:rsidRPr="00713AD5">
              <w:rPr>
                <w:sz w:val="16"/>
                <w:szCs w:val="16"/>
              </w:rPr>
              <w:t xml:space="preserve"> (1)</w:t>
            </w:r>
          </w:p>
        </w:tc>
        <w:tc>
          <w:tcPr>
            <w:tcW w:w="1453" w:type="dxa"/>
            <w:tcBorders>
              <w:top w:val="nil"/>
            </w:tcBorders>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Min.</w:t>
            </w:r>
            <w:r w:rsidRPr="00713AD5">
              <w:rPr>
                <w:sz w:val="16"/>
                <w:szCs w:val="16"/>
              </w:rPr>
              <w:t xml:space="preserve"> (1)</w:t>
            </w:r>
          </w:p>
        </w:tc>
        <w:tc>
          <w:tcPr>
            <w:tcW w:w="1331" w:type="dxa"/>
            <w:tcBorders>
              <w:top w:val="nil"/>
            </w:tcBorders>
            <w:vAlign w:val="center"/>
          </w:tcPr>
          <w:p w:rsidR="00CC6C21" w:rsidRPr="00713AD5" w:rsidRDefault="00CC6C21" w:rsidP="00CC6C21">
            <w:pPr>
              <w:jc w:val="center"/>
              <w:rPr>
                <w:rFonts w:ascii="Times New Roman" w:hAnsi="Times New Roman" w:cs="Times New Roman"/>
                <w:bCs/>
                <w:sz w:val="16"/>
                <w:szCs w:val="16"/>
                <w:lang w:val="en-US"/>
              </w:rPr>
            </w:pPr>
            <w:r w:rsidRPr="00713AD5">
              <w:rPr>
                <w:rFonts w:ascii="Times New Roman" w:hAnsi="Times New Roman" w:cs="Times New Roman"/>
                <w:bCs/>
                <w:sz w:val="16"/>
                <w:szCs w:val="16"/>
                <w:lang w:val="en-US"/>
              </w:rPr>
              <w:t>Min.</w:t>
            </w:r>
            <w:r w:rsidRPr="00713AD5">
              <w:rPr>
                <w:sz w:val="16"/>
                <w:szCs w:val="16"/>
              </w:rPr>
              <w:t xml:space="preserve"> (1)</w:t>
            </w:r>
          </w:p>
        </w:tc>
      </w:tr>
      <w:tr w:rsidR="00CC6C21" w:rsidRPr="007777A7" w:rsidTr="00F95E99">
        <w:trPr>
          <w:trHeight w:val="196"/>
        </w:trPr>
        <w:tc>
          <w:tcPr>
            <w:tcW w:w="3865" w:type="dxa"/>
            <w:tcBorders>
              <w:top w:val="nil"/>
            </w:tcBorders>
          </w:tcPr>
          <w:p w:rsidR="00CC6C21" w:rsidRPr="00713AD5" w:rsidRDefault="009E16B8" w:rsidP="00E741C8">
            <w:pPr>
              <w:jc w:val="both"/>
              <w:rPr>
                <w:rFonts w:ascii="Times New Roman" w:hAnsi="Times New Roman" w:cs="Times New Roman"/>
                <w:sz w:val="16"/>
                <w:szCs w:val="16"/>
              </w:rPr>
            </w:pPr>
            <w:r w:rsidRPr="00713AD5">
              <w:rPr>
                <w:rFonts w:ascii="Times New Roman" w:hAnsi="Times New Roman" w:cs="Times New Roman"/>
                <w:sz w:val="16"/>
                <w:szCs w:val="16"/>
              </w:rPr>
              <w:t>3.</w:t>
            </w:r>
            <w:r w:rsidRPr="00713AD5">
              <w:rPr>
                <w:rFonts w:ascii="Times New Roman" w:hAnsi="Times New Roman" w:cs="Times New Roman"/>
                <w:b/>
                <w:sz w:val="20"/>
                <w:szCs w:val="20"/>
              </w:rPr>
              <w:t xml:space="preserve"> </w:t>
            </w:r>
            <w:r w:rsidRPr="00713AD5">
              <w:rPr>
                <w:rFonts w:ascii="Times New Roman" w:hAnsi="Times New Roman" w:cs="Times New Roman"/>
                <w:sz w:val="16"/>
                <w:szCs w:val="16"/>
              </w:rPr>
              <w:t>Предоставени услуги от геодезически топографски и кадастрални данни</w:t>
            </w:r>
          </w:p>
        </w:tc>
        <w:tc>
          <w:tcPr>
            <w:tcW w:w="1202" w:type="dxa"/>
            <w:tcBorders>
              <w:top w:val="nil"/>
            </w:tcBorders>
            <w:shd w:val="clear" w:color="auto" w:fill="F2F2F2" w:themeFill="background1" w:themeFillShade="F2"/>
            <w:vAlign w:val="center"/>
          </w:tcPr>
          <w:p w:rsidR="00CC6C21" w:rsidRPr="00713AD5" w:rsidRDefault="009E16B8"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млн. брой</w:t>
            </w:r>
          </w:p>
        </w:tc>
        <w:tc>
          <w:tcPr>
            <w:tcW w:w="1492" w:type="dxa"/>
            <w:tcBorders>
              <w:top w:val="nil"/>
            </w:tcBorders>
            <w:vAlign w:val="center"/>
          </w:tcPr>
          <w:p w:rsidR="00CC6C21" w:rsidRPr="00713AD5" w:rsidRDefault="009E16B8"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3</w:t>
            </w:r>
          </w:p>
        </w:tc>
        <w:tc>
          <w:tcPr>
            <w:tcW w:w="1453" w:type="dxa"/>
            <w:tcBorders>
              <w:top w:val="nil"/>
            </w:tcBorders>
            <w:vAlign w:val="center"/>
          </w:tcPr>
          <w:p w:rsidR="00CC6C21" w:rsidRPr="00713AD5" w:rsidRDefault="009E16B8"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3</w:t>
            </w:r>
          </w:p>
        </w:tc>
        <w:tc>
          <w:tcPr>
            <w:tcW w:w="1331" w:type="dxa"/>
            <w:tcBorders>
              <w:top w:val="nil"/>
            </w:tcBorders>
            <w:vAlign w:val="center"/>
          </w:tcPr>
          <w:p w:rsidR="00CC6C21" w:rsidRPr="00713AD5" w:rsidRDefault="009E16B8" w:rsidP="00CC6C21">
            <w:pPr>
              <w:jc w:val="center"/>
              <w:rPr>
                <w:rFonts w:ascii="Times New Roman" w:hAnsi="Times New Roman" w:cs="Times New Roman"/>
                <w:bCs/>
                <w:sz w:val="16"/>
                <w:szCs w:val="16"/>
              </w:rPr>
            </w:pPr>
            <w:r w:rsidRPr="00713AD5">
              <w:rPr>
                <w:rFonts w:ascii="Times New Roman" w:hAnsi="Times New Roman" w:cs="Times New Roman"/>
                <w:bCs/>
                <w:sz w:val="16"/>
                <w:szCs w:val="16"/>
              </w:rPr>
              <w:t>3</w:t>
            </w:r>
          </w:p>
        </w:tc>
      </w:tr>
      <w:tr w:rsidR="00775316" w:rsidRPr="007777A7" w:rsidTr="00F95E99">
        <w:trPr>
          <w:trHeight w:val="196"/>
        </w:trPr>
        <w:tc>
          <w:tcPr>
            <w:tcW w:w="3865" w:type="dxa"/>
          </w:tcPr>
          <w:p w:rsidR="00775316" w:rsidRPr="00713AD5" w:rsidRDefault="00775316" w:rsidP="00E741C8">
            <w:pPr>
              <w:jc w:val="both"/>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4. Поддържане на валидни сертификати, издадени на производители на строителни продукти, от лица за оценяване на строителни продукти</w:t>
            </w:r>
          </w:p>
        </w:tc>
        <w:tc>
          <w:tcPr>
            <w:tcW w:w="120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брой</w:t>
            </w:r>
          </w:p>
        </w:tc>
        <w:tc>
          <w:tcPr>
            <w:tcW w:w="149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800</w:t>
            </w:r>
          </w:p>
        </w:tc>
        <w:tc>
          <w:tcPr>
            <w:tcW w:w="1453"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lang w:val="en-US"/>
              </w:rPr>
              <w:t>2000</w:t>
            </w:r>
          </w:p>
        </w:tc>
        <w:tc>
          <w:tcPr>
            <w:tcW w:w="1331"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lang w:val="en-US"/>
              </w:rPr>
            </w:pPr>
            <w:r w:rsidRPr="00713AD5">
              <w:rPr>
                <w:rFonts w:ascii="Times New Roman" w:hAnsi="Times New Roman" w:cs="Times New Roman"/>
                <w:color w:val="000000" w:themeColor="text1"/>
                <w:sz w:val="16"/>
                <w:szCs w:val="16"/>
                <w:lang w:val="en-US"/>
              </w:rPr>
              <w:t>1500</w:t>
            </w:r>
          </w:p>
        </w:tc>
      </w:tr>
      <w:tr w:rsidR="00775316" w:rsidRPr="007777A7" w:rsidTr="00F95E99">
        <w:trPr>
          <w:trHeight w:val="196"/>
        </w:trPr>
        <w:tc>
          <w:tcPr>
            <w:tcW w:w="3865" w:type="dxa"/>
          </w:tcPr>
          <w:p w:rsidR="00775316" w:rsidRPr="00713AD5" w:rsidRDefault="00775316" w:rsidP="00E741C8">
            <w:pPr>
              <w:jc w:val="both"/>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5.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120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брой</w:t>
            </w:r>
          </w:p>
        </w:tc>
        <w:tc>
          <w:tcPr>
            <w:tcW w:w="149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lang w:val="en-US"/>
              </w:rPr>
            </w:pPr>
            <w:r w:rsidRPr="00713AD5">
              <w:rPr>
                <w:rFonts w:ascii="Times New Roman" w:hAnsi="Times New Roman" w:cs="Times New Roman"/>
                <w:color w:val="000000" w:themeColor="text1"/>
                <w:sz w:val="16"/>
                <w:szCs w:val="16"/>
                <w:lang w:val="en-US"/>
              </w:rPr>
              <w:t>5</w:t>
            </w:r>
          </w:p>
        </w:tc>
        <w:tc>
          <w:tcPr>
            <w:tcW w:w="1453"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lang w:val="en-US"/>
              </w:rPr>
            </w:pPr>
            <w:r w:rsidRPr="00713AD5">
              <w:rPr>
                <w:rFonts w:ascii="Times New Roman" w:hAnsi="Times New Roman" w:cs="Times New Roman"/>
                <w:color w:val="000000" w:themeColor="text1"/>
                <w:sz w:val="16"/>
                <w:szCs w:val="16"/>
                <w:lang w:val="en-US"/>
              </w:rPr>
              <w:t>5</w:t>
            </w:r>
          </w:p>
        </w:tc>
        <w:tc>
          <w:tcPr>
            <w:tcW w:w="1331"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lang w:val="en-US"/>
              </w:rPr>
            </w:pPr>
            <w:r w:rsidRPr="00713AD5">
              <w:rPr>
                <w:rFonts w:ascii="Times New Roman" w:hAnsi="Times New Roman" w:cs="Times New Roman"/>
                <w:color w:val="000000" w:themeColor="text1"/>
                <w:sz w:val="16"/>
                <w:szCs w:val="16"/>
                <w:lang w:val="en-US"/>
              </w:rPr>
              <w:t>5</w:t>
            </w:r>
          </w:p>
        </w:tc>
      </w:tr>
      <w:tr w:rsidR="00775316" w:rsidRPr="007777A7" w:rsidTr="00F95E99">
        <w:trPr>
          <w:trHeight w:val="196"/>
        </w:trPr>
        <w:tc>
          <w:tcPr>
            <w:tcW w:w="3865" w:type="dxa"/>
          </w:tcPr>
          <w:p w:rsidR="00775316" w:rsidRPr="00713AD5" w:rsidRDefault="00775316" w:rsidP="00E741C8">
            <w:pPr>
              <w:jc w:val="both"/>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6. Поддържане на регулаторна база от технически нормативни актове за обследване, проектиране, изграждане и поддържане на строежите</w:t>
            </w:r>
          </w:p>
        </w:tc>
        <w:tc>
          <w:tcPr>
            <w:tcW w:w="120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брой</w:t>
            </w:r>
          </w:p>
        </w:tc>
        <w:tc>
          <w:tcPr>
            <w:tcW w:w="1492"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75</w:t>
            </w:r>
          </w:p>
        </w:tc>
        <w:tc>
          <w:tcPr>
            <w:tcW w:w="1453"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75</w:t>
            </w:r>
          </w:p>
        </w:tc>
        <w:tc>
          <w:tcPr>
            <w:tcW w:w="1331" w:type="dxa"/>
            <w:shd w:val="clear" w:color="auto" w:fill="auto"/>
            <w:vAlign w:val="center"/>
          </w:tcPr>
          <w:p w:rsidR="00775316" w:rsidRPr="00713AD5" w:rsidRDefault="00775316" w:rsidP="00775316">
            <w:pPr>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75</w:t>
            </w:r>
          </w:p>
        </w:tc>
      </w:tr>
      <w:tr w:rsidR="00EE2A79" w:rsidRPr="007777A7" w:rsidTr="00F95E99">
        <w:trPr>
          <w:trHeight w:val="196"/>
        </w:trPr>
        <w:tc>
          <w:tcPr>
            <w:tcW w:w="3865" w:type="dxa"/>
          </w:tcPr>
          <w:p w:rsidR="00EE2A79" w:rsidRPr="00713AD5" w:rsidRDefault="00EE2A79" w:rsidP="00E741C8">
            <w:pPr>
              <w:jc w:val="both"/>
              <w:rPr>
                <w:rFonts w:ascii="Times New Roman" w:hAnsi="Times New Roman" w:cs="Times New Roman"/>
                <w:bCs/>
                <w:sz w:val="16"/>
                <w:szCs w:val="16"/>
              </w:rPr>
            </w:pPr>
            <w:r w:rsidRPr="00713AD5">
              <w:rPr>
                <w:rFonts w:ascii="Times New Roman" w:hAnsi="Times New Roman" w:cs="Times New Roman"/>
                <w:bCs/>
                <w:sz w:val="16"/>
                <w:szCs w:val="16"/>
              </w:rPr>
              <w:t>7. Контролирана свлачищна територия</w:t>
            </w:r>
          </w:p>
        </w:tc>
        <w:tc>
          <w:tcPr>
            <w:tcW w:w="120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ха</w:t>
            </w:r>
          </w:p>
        </w:tc>
        <w:tc>
          <w:tcPr>
            <w:tcW w:w="149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1 000</w:t>
            </w:r>
          </w:p>
        </w:tc>
        <w:tc>
          <w:tcPr>
            <w:tcW w:w="1453"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1 000</w:t>
            </w:r>
          </w:p>
        </w:tc>
        <w:tc>
          <w:tcPr>
            <w:tcW w:w="1331"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1 000</w:t>
            </w:r>
          </w:p>
        </w:tc>
      </w:tr>
      <w:tr w:rsidR="00EE2A79" w:rsidRPr="007777A7" w:rsidTr="00F95E99">
        <w:trPr>
          <w:trHeight w:val="196"/>
        </w:trPr>
        <w:tc>
          <w:tcPr>
            <w:tcW w:w="3865" w:type="dxa"/>
          </w:tcPr>
          <w:p w:rsidR="00EE2A79" w:rsidRPr="00713AD5" w:rsidRDefault="00EE2A79" w:rsidP="00E741C8">
            <w:pPr>
              <w:jc w:val="both"/>
              <w:rPr>
                <w:rFonts w:ascii="Times New Roman" w:hAnsi="Times New Roman" w:cs="Times New Roman"/>
                <w:bCs/>
                <w:sz w:val="16"/>
                <w:szCs w:val="16"/>
              </w:rPr>
            </w:pPr>
            <w:r w:rsidRPr="00713AD5">
              <w:rPr>
                <w:rFonts w:ascii="Times New Roman" w:hAnsi="Times New Roman" w:cs="Times New Roman"/>
                <w:bCs/>
                <w:sz w:val="16"/>
                <w:szCs w:val="16"/>
              </w:rPr>
              <w:t>8. Решения на Министерския съвет за изменения и допълнения на списък на общинските пътища</w:t>
            </w:r>
          </w:p>
        </w:tc>
        <w:tc>
          <w:tcPr>
            <w:tcW w:w="120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бр.</w:t>
            </w:r>
          </w:p>
        </w:tc>
        <w:tc>
          <w:tcPr>
            <w:tcW w:w="149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w:t>
            </w:r>
          </w:p>
        </w:tc>
        <w:tc>
          <w:tcPr>
            <w:tcW w:w="1453"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w:t>
            </w:r>
          </w:p>
        </w:tc>
        <w:tc>
          <w:tcPr>
            <w:tcW w:w="1331"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w:t>
            </w:r>
          </w:p>
        </w:tc>
      </w:tr>
      <w:tr w:rsidR="00EE2A79" w:rsidRPr="007777A7" w:rsidTr="00F95E99">
        <w:trPr>
          <w:trHeight w:val="196"/>
        </w:trPr>
        <w:tc>
          <w:tcPr>
            <w:tcW w:w="3865" w:type="dxa"/>
          </w:tcPr>
          <w:p w:rsidR="00EE2A79" w:rsidRPr="00713AD5" w:rsidRDefault="00EE2A79" w:rsidP="00E741C8">
            <w:pPr>
              <w:jc w:val="both"/>
              <w:rPr>
                <w:rFonts w:ascii="Times New Roman" w:hAnsi="Times New Roman" w:cs="Times New Roman"/>
                <w:bCs/>
                <w:sz w:val="16"/>
                <w:szCs w:val="16"/>
              </w:rPr>
            </w:pPr>
            <w:r w:rsidRPr="00713AD5">
              <w:rPr>
                <w:rFonts w:ascii="Times New Roman" w:hAnsi="Times New Roman" w:cs="Times New Roman"/>
                <w:bCs/>
                <w:sz w:val="16"/>
                <w:szCs w:val="16"/>
              </w:rPr>
              <w:t>9. Завършен благоустройствен обект</w:t>
            </w:r>
            <w:r w:rsidRPr="00713AD5">
              <w:rPr>
                <w:rFonts w:ascii="Times New Roman" w:hAnsi="Times New Roman" w:cs="Times New Roman"/>
                <w:bCs/>
                <w:sz w:val="16"/>
                <w:szCs w:val="16"/>
                <w:lang w:val="en-US"/>
              </w:rPr>
              <w:t xml:space="preserve"> (</w:t>
            </w:r>
            <w:r w:rsidRPr="00713AD5">
              <w:rPr>
                <w:rFonts w:ascii="Times New Roman" w:hAnsi="Times New Roman" w:cs="Times New Roman"/>
                <w:bCs/>
                <w:sz w:val="16"/>
                <w:szCs w:val="16"/>
              </w:rPr>
              <w:t>участък от общинската пътна или улична мрежи</w:t>
            </w:r>
            <w:r w:rsidRPr="00713AD5">
              <w:rPr>
                <w:rFonts w:ascii="Times New Roman" w:hAnsi="Times New Roman" w:cs="Times New Roman"/>
                <w:bCs/>
                <w:sz w:val="16"/>
                <w:szCs w:val="16"/>
                <w:lang w:val="en-US"/>
              </w:rPr>
              <w:t>)</w:t>
            </w:r>
            <w:r w:rsidRPr="00713AD5" w:rsidDel="004F6A53">
              <w:rPr>
                <w:rFonts w:ascii="Times New Roman" w:hAnsi="Times New Roman" w:cs="Times New Roman"/>
                <w:color w:val="000000" w:themeColor="text1"/>
                <w:sz w:val="16"/>
                <w:szCs w:val="16"/>
              </w:rPr>
              <w:t xml:space="preserve"> </w:t>
            </w:r>
          </w:p>
        </w:tc>
        <w:tc>
          <w:tcPr>
            <w:tcW w:w="120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бр.</w:t>
            </w:r>
          </w:p>
        </w:tc>
        <w:tc>
          <w:tcPr>
            <w:tcW w:w="149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19</w:t>
            </w:r>
          </w:p>
        </w:tc>
        <w:tc>
          <w:tcPr>
            <w:tcW w:w="1453"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2</w:t>
            </w:r>
          </w:p>
        </w:tc>
        <w:tc>
          <w:tcPr>
            <w:tcW w:w="1331" w:type="dxa"/>
            <w:shd w:val="clear" w:color="auto" w:fill="auto"/>
            <w:vAlign w:val="center"/>
          </w:tcPr>
          <w:p w:rsidR="00EE2A79" w:rsidRPr="00713AD5" w:rsidRDefault="00EE2A79" w:rsidP="00EE2A79">
            <w:pPr>
              <w:jc w:val="center"/>
              <w:rPr>
                <w:rFonts w:ascii="Times New Roman" w:hAnsi="Times New Roman" w:cs="Times New Roman"/>
                <w:bCs/>
                <w:sz w:val="16"/>
                <w:szCs w:val="16"/>
              </w:rPr>
            </w:pPr>
          </w:p>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2</w:t>
            </w:r>
          </w:p>
        </w:tc>
      </w:tr>
      <w:tr w:rsidR="00EE2A79" w:rsidRPr="007777A7" w:rsidTr="00F95E99">
        <w:trPr>
          <w:trHeight w:val="1245"/>
        </w:trPr>
        <w:tc>
          <w:tcPr>
            <w:tcW w:w="3865" w:type="dxa"/>
          </w:tcPr>
          <w:p w:rsidR="00EE2A79" w:rsidRPr="00713AD5" w:rsidRDefault="00EE2A79" w:rsidP="00E741C8">
            <w:pPr>
              <w:pStyle w:val="ListParagraph"/>
              <w:numPr>
                <w:ilvl w:val="0"/>
                <w:numId w:val="15"/>
              </w:numPr>
              <w:tabs>
                <w:tab w:val="left" w:pos="255"/>
              </w:tabs>
              <w:ind w:left="37" w:firstLine="0"/>
              <w:jc w:val="both"/>
              <w:rPr>
                <w:rFonts w:ascii="Times New Roman" w:hAnsi="Times New Roman" w:cs="Times New Roman"/>
                <w:bCs/>
                <w:sz w:val="16"/>
                <w:szCs w:val="16"/>
              </w:rPr>
            </w:pPr>
            <w:r w:rsidRPr="00713AD5">
              <w:rPr>
                <w:rFonts w:ascii="Times New Roman" w:hAnsi="Times New Roman" w:cs="Times New Roman"/>
                <w:bCs/>
                <w:sz w:val="16"/>
                <w:szCs w:val="16"/>
              </w:rPr>
              <w:t>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p>
        </w:tc>
        <w:tc>
          <w:tcPr>
            <w:tcW w:w="1202" w:type="dxa"/>
            <w:shd w:val="clear" w:color="auto" w:fill="auto"/>
            <w:vAlign w:val="center"/>
          </w:tcPr>
          <w:p w:rsidR="00EE2A79" w:rsidRPr="00713AD5" w:rsidRDefault="00EE2A79" w:rsidP="00EE2A79">
            <w:pPr>
              <w:jc w:val="center"/>
              <w:rPr>
                <w:rFonts w:ascii="Times New Roman" w:hAnsi="Times New Roman" w:cs="Times New Roman"/>
                <w:bCs/>
                <w:sz w:val="16"/>
                <w:szCs w:val="16"/>
              </w:rPr>
            </w:pPr>
            <w:r w:rsidRPr="00713AD5">
              <w:rPr>
                <w:rFonts w:ascii="Times New Roman" w:hAnsi="Times New Roman" w:cs="Times New Roman"/>
                <w:bCs/>
                <w:sz w:val="16"/>
                <w:szCs w:val="16"/>
              </w:rPr>
              <w:t>бр. жители</w:t>
            </w:r>
          </w:p>
        </w:tc>
        <w:tc>
          <w:tcPr>
            <w:tcW w:w="1492" w:type="dxa"/>
            <w:shd w:val="clear" w:color="auto" w:fill="auto"/>
            <w:vAlign w:val="center"/>
          </w:tcPr>
          <w:p w:rsidR="00EE2A79" w:rsidRPr="00713AD5" w:rsidRDefault="00EE2A79" w:rsidP="00EE2A79">
            <w:pPr>
              <w:jc w:val="center"/>
              <w:rPr>
                <w:sz w:val="16"/>
                <w:szCs w:val="16"/>
              </w:rPr>
            </w:pPr>
            <w:r w:rsidRPr="00713AD5">
              <w:rPr>
                <w:rFonts w:ascii="Times New Roman" w:hAnsi="Times New Roman" w:cs="Times New Roman"/>
                <w:bCs/>
                <w:sz w:val="16"/>
                <w:szCs w:val="16"/>
              </w:rPr>
              <w:t>18 000</w:t>
            </w:r>
          </w:p>
        </w:tc>
        <w:tc>
          <w:tcPr>
            <w:tcW w:w="1453" w:type="dxa"/>
            <w:shd w:val="clear" w:color="auto" w:fill="auto"/>
            <w:vAlign w:val="center"/>
          </w:tcPr>
          <w:p w:rsidR="00EE2A79" w:rsidRPr="00713AD5" w:rsidRDefault="00503A52" w:rsidP="00784554">
            <w:pPr>
              <w:ind w:left="360"/>
              <w:rPr>
                <w:rFonts w:ascii="Times New Roman" w:hAnsi="Times New Roman" w:cs="Times New Roman"/>
                <w:sz w:val="16"/>
                <w:szCs w:val="16"/>
              </w:rPr>
            </w:pPr>
            <w:r w:rsidRPr="00713AD5">
              <w:rPr>
                <w:rFonts w:ascii="Times New Roman" w:hAnsi="Times New Roman" w:cs="Times New Roman"/>
                <w:sz w:val="16"/>
                <w:szCs w:val="16"/>
              </w:rPr>
              <w:t>90 500</w:t>
            </w:r>
          </w:p>
        </w:tc>
        <w:tc>
          <w:tcPr>
            <w:tcW w:w="1331" w:type="dxa"/>
            <w:shd w:val="clear" w:color="auto" w:fill="auto"/>
            <w:vAlign w:val="center"/>
          </w:tcPr>
          <w:p w:rsidR="00EE2A79" w:rsidRPr="00713AD5" w:rsidRDefault="00784554" w:rsidP="00784554">
            <w:pPr>
              <w:jc w:val="center"/>
              <w:rPr>
                <w:sz w:val="16"/>
                <w:szCs w:val="16"/>
              </w:rPr>
            </w:pPr>
            <w:r w:rsidRPr="00713AD5">
              <w:rPr>
                <w:rFonts w:ascii="Times New Roman" w:hAnsi="Times New Roman" w:cs="Times New Roman"/>
                <w:bCs/>
                <w:sz w:val="16"/>
                <w:szCs w:val="16"/>
              </w:rPr>
              <w:t xml:space="preserve">20 </w:t>
            </w:r>
            <w:r w:rsidR="00EE2A79" w:rsidRPr="00713AD5">
              <w:rPr>
                <w:rFonts w:ascii="Times New Roman" w:hAnsi="Times New Roman" w:cs="Times New Roman"/>
                <w:bCs/>
                <w:sz w:val="16"/>
                <w:szCs w:val="16"/>
              </w:rPr>
              <w:t>000</w:t>
            </w:r>
          </w:p>
        </w:tc>
      </w:tr>
      <w:tr w:rsidR="00E741C8" w:rsidRPr="007777A7" w:rsidTr="00BC4113">
        <w:trPr>
          <w:trHeight w:val="665"/>
        </w:trPr>
        <w:tc>
          <w:tcPr>
            <w:tcW w:w="3865" w:type="dxa"/>
          </w:tcPr>
          <w:p w:rsidR="00F95E99" w:rsidRPr="00713AD5" w:rsidRDefault="00E741C8" w:rsidP="00F95E99">
            <w:pPr>
              <w:pStyle w:val="ListParagraph"/>
              <w:numPr>
                <w:ilvl w:val="0"/>
                <w:numId w:val="15"/>
              </w:numPr>
              <w:tabs>
                <w:tab w:val="left" w:pos="255"/>
              </w:tabs>
              <w:ind w:left="37" w:firstLine="0"/>
              <w:jc w:val="both"/>
              <w:rPr>
                <w:rFonts w:ascii="Times New Roman" w:hAnsi="Times New Roman" w:cs="Times New Roman"/>
                <w:bCs/>
                <w:sz w:val="16"/>
                <w:szCs w:val="16"/>
              </w:rPr>
            </w:pPr>
            <w:r w:rsidRPr="00713AD5">
              <w:rPr>
                <w:rFonts w:ascii="Times New Roman" w:hAnsi="Times New Roman" w:cs="Times New Roman"/>
                <w:bCs/>
                <w:sz w:val="16"/>
                <w:szCs w:val="16"/>
              </w:rPr>
              <w:t xml:space="preserve">Обезпечаване на територията на страната с общи устройствени планове. </w:t>
            </w:r>
            <w:r w:rsidRPr="00713AD5">
              <w:rPr>
                <w:rFonts w:ascii="Times New Roman" w:hAnsi="Times New Roman" w:cs="Times New Roman"/>
                <w:bCs/>
                <w:i/>
                <w:sz w:val="16"/>
                <w:szCs w:val="16"/>
              </w:rPr>
              <w:t>(нарастване на броя на общините с действащи общи устройствени планове)</w:t>
            </w:r>
          </w:p>
        </w:tc>
        <w:tc>
          <w:tcPr>
            <w:tcW w:w="1202" w:type="dxa"/>
            <w:shd w:val="clear" w:color="auto" w:fill="auto"/>
          </w:tcPr>
          <w:p w:rsidR="00E741C8" w:rsidRPr="00713AD5" w:rsidRDefault="00E741C8" w:rsidP="00E741C8">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w:t>
            </w:r>
          </w:p>
        </w:tc>
        <w:tc>
          <w:tcPr>
            <w:tcW w:w="1492" w:type="dxa"/>
            <w:shd w:val="clear" w:color="auto" w:fill="auto"/>
          </w:tcPr>
          <w:p w:rsidR="00E741C8" w:rsidRPr="00713AD5" w:rsidRDefault="00E741C8" w:rsidP="00E741C8">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30</w:t>
            </w:r>
          </w:p>
        </w:tc>
        <w:tc>
          <w:tcPr>
            <w:tcW w:w="1453" w:type="dxa"/>
            <w:shd w:val="clear" w:color="auto" w:fill="auto"/>
          </w:tcPr>
          <w:p w:rsidR="00E741C8" w:rsidRPr="00713AD5" w:rsidRDefault="00E741C8" w:rsidP="00E741C8">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25</w:t>
            </w:r>
          </w:p>
        </w:tc>
        <w:tc>
          <w:tcPr>
            <w:tcW w:w="1331" w:type="dxa"/>
            <w:shd w:val="clear" w:color="auto" w:fill="auto"/>
          </w:tcPr>
          <w:p w:rsidR="00E741C8" w:rsidRPr="00713AD5" w:rsidRDefault="00E741C8" w:rsidP="00E741C8">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5</w:t>
            </w:r>
          </w:p>
        </w:tc>
      </w:tr>
      <w:tr w:rsidR="00F7700E" w:rsidRPr="007777A7" w:rsidTr="004D6822">
        <w:trPr>
          <w:trHeight w:val="80"/>
        </w:trPr>
        <w:tc>
          <w:tcPr>
            <w:tcW w:w="3865" w:type="dxa"/>
            <w:vAlign w:val="center"/>
          </w:tcPr>
          <w:p w:rsidR="00F7700E" w:rsidRPr="00713AD5" w:rsidRDefault="00F7700E" w:rsidP="004D6822">
            <w:pPr>
              <w:pStyle w:val="ListParagraph"/>
              <w:numPr>
                <w:ilvl w:val="0"/>
                <w:numId w:val="15"/>
              </w:numPr>
              <w:tabs>
                <w:tab w:val="left" w:pos="255"/>
              </w:tabs>
              <w:ind w:left="37" w:firstLine="0"/>
              <w:rPr>
                <w:rFonts w:ascii="Times New Roman" w:hAnsi="Times New Roman" w:cs="Times New Roman"/>
                <w:bCs/>
                <w:sz w:val="16"/>
                <w:szCs w:val="16"/>
              </w:rPr>
            </w:pPr>
            <w:r w:rsidRPr="00713AD5">
              <w:rPr>
                <w:rFonts w:ascii="Times New Roman" w:hAnsi="Times New Roman" w:cs="Times New Roman"/>
                <w:bCs/>
                <w:sz w:val="16"/>
                <w:szCs w:val="16"/>
              </w:rPr>
              <w:t>Рехабилитирани и новоизградени участъци</w:t>
            </w:r>
          </w:p>
        </w:tc>
        <w:tc>
          <w:tcPr>
            <w:tcW w:w="120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Км.</w:t>
            </w:r>
          </w:p>
        </w:tc>
        <w:tc>
          <w:tcPr>
            <w:tcW w:w="149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373,35</w:t>
            </w:r>
          </w:p>
        </w:tc>
        <w:tc>
          <w:tcPr>
            <w:tcW w:w="1453"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137,16</w:t>
            </w:r>
          </w:p>
        </w:tc>
        <w:tc>
          <w:tcPr>
            <w:tcW w:w="1331"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187,35</w:t>
            </w:r>
          </w:p>
        </w:tc>
      </w:tr>
      <w:tr w:rsidR="00F7700E" w:rsidRPr="007777A7" w:rsidTr="004D6822">
        <w:trPr>
          <w:trHeight w:val="170"/>
        </w:trPr>
        <w:tc>
          <w:tcPr>
            <w:tcW w:w="3865" w:type="dxa"/>
            <w:vAlign w:val="center"/>
          </w:tcPr>
          <w:p w:rsidR="00F7700E" w:rsidRPr="00713AD5" w:rsidRDefault="00F7700E" w:rsidP="004D6822">
            <w:pPr>
              <w:pStyle w:val="ListParagraph"/>
              <w:numPr>
                <w:ilvl w:val="0"/>
                <w:numId w:val="15"/>
              </w:numPr>
              <w:tabs>
                <w:tab w:val="left" w:pos="255"/>
              </w:tabs>
              <w:ind w:left="37" w:firstLine="0"/>
              <w:rPr>
                <w:rFonts w:ascii="Times New Roman" w:hAnsi="Times New Roman" w:cs="Times New Roman"/>
                <w:bCs/>
                <w:sz w:val="16"/>
                <w:szCs w:val="16"/>
              </w:rPr>
            </w:pPr>
            <w:r w:rsidRPr="00713AD5">
              <w:rPr>
                <w:rFonts w:ascii="Times New Roman" w:hAnsi="Times New Roman" w:cs="Times New Roman"/>
                <w:bCs/>
                <w:sz w:val="16"/>
                <w:szCs w:val="16"/>
              </w:rPr>
              <w:t>Текущ ремонт и поддържане на РПМ</w:t>
            </w:r>
          </w:p>
        </w:tc>
        <w:tc>
          <w:tcPr>
            <w:tcW w:w="120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Км.</w:t>
            </w:r>
          </w:p>
        </w:tc>
        <w:tc>
          <w:tcPr>
            <w:tcW w:w="149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19 925,233</w:t>
            </w:r>
          </w:p>
        </w:tc>
        <w:tc>
          <w:tcPr>
            <w:tcW w:w="1453"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19 925,233</w:t>
            </w:r>
          </w:p>
        </w:tc>
        <w:tc>
          <w:tcPr>
            <w:tcW w:w="1331"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19 925,233</w:t>
            </w:r>
          </w:p>
        </w:tc>
      </w:tr>
      <w:tr w:rsidR="00F7700E" w:rsidRPr="007777A7" w:rsidTr="004D6822">
        <w:trPr>
          <w:trHeight w:val="80"/>
        </w:trPr>
        <w:tc>
          <w:tcPr>
            <w:tcW w:w="3865" w:type="dxa"/>
            <w:vAlign w:val="center"/>
          </w:tcPr>
          <w:p w:rsidR="00F7700E" w:rsidRPr="00713AD5" w:rsidRDefault="006C688E" w:rsidP="004D6822">
            <w:pPr>
              <w:pStyle w:val="ListParagraph"/>
              <w:numPr>
                <w:ilvl w:val="0"/>
                <w:numId w:val="15"/>
              </w:numPr>
              <w:tabs>
                <w:tab w:val="left" w:pos="321"/>
              </w:tabs>
              <w:ind w:left="37" w:firstLine="0"/>
              <w:rPr>
                <w:sz w:val="16"/>
                <w:szCs w:val="16"/>
              </w:rPr>
            </w:pPr>
            <w:r w:rsidRPr="00713AD5">
              <w:rPr>
                <w:rFonts w:ascii="Times New Roman" w:hAnsi="Times New Roman" w:cs="Times New Roman"/>
                <w:bCs/>
                <w:sz w:val="16"/>
                <w:szCs w:val="16"/>
              </w:rPr>
              <w:t>Брой</w:t>
            </w:r>
            <w:r w:rsidRPr="00713AD5">
              <w:rPr>
                <w:sz w:val="16"/>
                <w:szCs w:val="16"/>
              </w:rPr>
              <w:t xml:space="preserve"> </w:t>
            </w:r>
            <w:r w:rsidRPr="00713AD5">
              <w:rPr>
                <w:rFonts w:ascii="Times New Roman" w:hAnsi="Times New Roman" w:cs="Times New Roman"/>
                <w:bCs/>
                <w:sz w:val="16"/>
                <w:szCs w:val="16"/>
              </w:rPr>
              <w:t>продадени електронни винетки</w:t>
            </w:r>
          </w:p>
        </w:tc>
        <w:tc>
          <w:tcPr>
            <w:tcW w:w="120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Брой</w:t>
            </w:r>
          </w:p>
        </w:tc>
        <w:tc>
          <w:tcPr>
            <w:tcW w:w="1492"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6 300 000</w:t>
            </w:r>
          </w:p>
        </w:tc>
        <w:tc>
          <w:tcPr>
            <w:tcW w:w="1453"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6 300 000</w:t>
            </w:r>
          </w:p>
        </w:tc>
        <w:tc>
          <w:tcPr>
            <w:tcW w:w="1331" w:type="dxa"/>
            <w:shd w:val="clear" w:color="auto" w:fill="auto"/>
            <w:vAlign w:val="center"/>
          </w:tcPr>
          <w:p w:rsidR="00F7700E" w:rsidRPr="00713AD5" w:rsidRDefault="00F7700E" w:rsidP="004D6822">
            <w:pPr>
              <w:spacing w:before="120"/>
              <w:ind w:firstLine="37"/>
              <w:jc w:val="center"/>
              <w:rPr>
                <w:rFonts w:ascii="Times New Roman" w:hAnsi="Times New Roman" w:cs="Times New Roman"/>
                <w:color w:val="000000" w:themeColor="text1"/>
                <w:sz w:val="16"/>
                <w:szCs w:val="16"/>
              </w:rPr>
            </w:pPr>
            <w:r w:rsidRPr="00713AD5">
              <w:rPr>
                <w:rFonts w:ascii="Times New Roman" w:hAnsi="Times New Roman" w:cs="Times New Roman"/>
                <w:color w:val="000000" w:themeColor="text1"/>
                <w:sz w:val="16"/>
                <w:szCs w:val="16"/>
              </w:rPr>
              <w:t>6 300 000</w:t>
            </w:r>
          </w:p>
        </w:tc>
      </w:tr>
    </w:tbl>
    <w:p w:rsidR="000343BD" w:rsidRPr="000343BD" w:rsidRDefault="000343BD" w:rsidP="000343BD">
      <w:pPr>
        <w:pStyle w:val="ListParagraph"/>
        <w:tabs>
          <w:tab w:val="left" w:pos="851"/>
        </w:tabs>
        <w:spacing w:after="0"/>
        <w:ind w:left="567"/>
        <w:jc w:val="both"/>
        <w:rPr>
          <w:rFonts w:ascii="Times New Roman" w:eastAsia="Calibri" w:hAnsi="Times New Roman" w:cs="Times New Roman"/>
          <w:b/>
          <w:bCs/>
          <w:lang w:eastAsia="bg-BG"/>
        </w:rPr>
      </w:pPr>
    </w:p>
    <w:p w:rsidR="00CC6C21" w:rsidRPr="00713AD5" w:rsidRDefault="00CC6C21" w:rsidP="00EA772F">
      <w:pPr>
        <w:pStyle w:val="ListParagraph"/>
        <w:numPr>
          <w:ilvl w:val="0"/>
          <w:numId w:val="10"/>
        </w:numPr>
        <w:tabs>
          <w:tab w:val="left" w:pos="851"/>
        </w:tabs>
        <w:spacing w:after="0" w:line="240" w:lineRule="auto"/>
        <w:ind w:left="0" w:firstLine="567"/>
        <w:jc w:val="both"/>
        <w:rPr>
          <w:rFonts w:ascii="Times New Roman" w:eastAsia="Calibri" w:hAnsi="Times New Roman" w:cs="Times New Roman"/>
          <w:b/>
          <w:bCs/>
          <w:lang w:eastAsia="bg-BG"/>
        </w:rPr>
      </w:pPr>
      <w:r w:rsidRPr="00713AD5">
        <w:rPr>
          <w:rFonts w:ascii="Times New Roman" w:eastAsia="Calibri" w:hAnsi="Times New Roman" w:cs="Times New Roman"/>
          <w:b/>
          <w:bCs/>
          <w:i/>
          <w:lang w:eastAsia="bg-BG"/>
        </w:rPr>
        <w:t xml:space="preserve">Индикатор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w:t>
      </w:r>
      <w:r w:rsidRPr="00713AD5">
        <w:rPr>
          <w:rFonts w:ascii="Times New Roman" w:eastAsia="Calibri" w:hAnsi="Times New Roman" w:cs="Times New Roman"/>
          <w:b/>
          <w:bCs/>
          <w:i/>
          <w:lang w:val="en-US" w:eastAsia="bg-BG"/>
        </w:rPr>
        <w:t xml:space="preserve">I, II </w:t>
      </w:r>
      <w:r w:rsidRPr="00713AD5">
        <w:rPr>
          <w:rFonts w:ascii="Times New Roman" w:eastAsia="Calibri" w:hAnsi="Times New Roman" w:cs="Times New Roman"/>
          <w:b/>
          <w:bCs/>
          <w:i/>
          <w:lang w:eastAsia="bg-BG"/>
        </w:rPr>
        <w:t xml:space="preserve">и </w:t>
      </w:r>
      <w:r w:rsidRPr="00713AD5">
        <w:rPr>
          <w:rFonts w:ascii="Times New Roman" w:eastAsia="Calibri" w:hAnsi="Times New Roman" w:cs="Times New Roman"/>
          <w:b/>
          <w:bCs/>
          <w:i/>
          <w:lang w:val="en-US" w:eastAsia="bg-BG"/>
        </w:rPr>
        <w:t xml:space="preserve">III </w:t>
      </w:r>
      <w:r w:rsidRPr="00713AD5">
        <w:rPr>
          <w:rFonts w:ascii="Times New Roman" w:eastAsia="Calibri" w:hAnsi="Times New Roman" w:cs="Times New Roman"/>
          <w:b/>
          <w:bCs/>
          <w:i/>
          <w:lang w:eastAsia="bg-BG"/>
        </w:rPr>
        <w:t>категория“</w:t>
      </w:r>
      <w:r w:rsidRPr="00713AD5">
        <w:rPr>
          <w:rFonts w:ascii="Times New Roman" w:eastAsia="Calibri" w:hAnsi="Times New Roman" w:cs="Times New Roman"/>
          <w:b/>
          <w:bCs/>
          <w:lang w:eastAsia="bg-BG"/>
        </w:rPr>
        <w:t xml:space="preserve"> - </w:t>
      </w:r>
      <w:r w:rsidRPr="00713AD5">
        <w:rPr>
          <w:rFonts w:ascii="Times New Roman" w:eastAsia="Calibri" w:hAnsi="Times New Roman" w:cs="Times New Roman"/>
        </w:rPr>
        <w:t>целевата стойност 100%</w:t>
      </w:r>
      <w:r w:rsidRPr="00713AD5">
        <w:rPr>
          <w:rFonts w:ascii="Times New Roman" w:eastAsia="Calibri" w:hAnsi="Times New Roman" w:cs="Times New Roman"/>
          <w:lang w:eastAsia="es-ES_tradnl"/>
        </w:rPr>
        <w:t>,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CC6C21" w:rsidRPr="00713AD5" w:rsidRDefault="00CC6C21" w:rsidP="00EA772F">
      <w:pPr>
        <w:tabs>
          <w:tab w:val="num" w:pos="0"/>
        </w:tabs>
        <w:spacing w:after="0" w:line="240" w:lineRule="auto"/>
        <w:ind w:firstLine="567"/>
        <w:jc w:val="both"/>
        <w:rPr>
          <w:rFonts w:ascii="Times New Roman" w:eastAsia="Times New Roman" w:hAnsi="Times New Roman" w:cs="Times New Roman"/>
        </w:rPr>
      </w:pPr>
      <w:r w:rsidRPr="00713AD5">
        <w:rPr>
          <w:rFonts w:ascii="Times New Roman" w:eastAsia="Times New Roman" w:hAnsi="Times New Roman" w:cs="Times New Roman"/>
        </w:rPr>
        <w:t>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 Ползата</w:t>
      </w:r>
      <w:bookmarkStart w:id="0" w:name="_GoBack"/>
      <w:bookmarkEnd w:id="0"/>
      <w:r w:rsidRPr="00713AD5">
        <w:rPr>
          <w:rFonts w:ascii="Times New Roman" w:eastAsia="Times New Roman" w:hAnsi="Times New Roman" w:cs="Times New Roman"/>
        </w:rPr>
        <w:t xml:space="preserve">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r w:rsidRPr="00713AD5">
        <w:rPr>
          <w:rFonts w:ascii="Times New Roman" w:eastAsia="Times New Roman" w:hAnsi="Times New Roman" w:cs="Times New Roman"/>
          <w:lang w:val="en-US"/>
        </w:rPr>
        <w:t xml:space="preserve"> </w:t>
      </w:r>
      <w:r w:rsidRPr="00713AD5">
        <w:rPr>
          <w:rFonts w:ascii="Times New Roman" w:eastAsia="Times New Roman" w:hAnsi="Times New Roman" w:cs="Times New Roman"/>
        </w:rPr>
        <w:t xml:space="preserve">Изпълнението </w:t>
      </w:r>
      <w:r w:rsidRPr="00713AD5">
        <w:rPr>
          <w:rFonts w:ascii="Times New Roman" w:eastAsia="Times New Roman" w:hAnsi="Times New Roman" w:cs="Times New Roman"/>
          <w:lang w:eastAsia="bg-BG"/>
        </w:rPr>
        <w:t>на строежи, гарантиращи безопасни и здравословни условия в икономически обоснован експлоатационен срок са гаранция за подобряване условията на жизнената среда в сградите.</w:t>
      </w:r>
    </w:p>
    <w:p w:rsidR="00CC6C21" w:rsidRPr="00713AD5" w:rsidRDefault="00CC6C21" w:rsidP="00EA772F">
      <w:pPr>
        <w:pStyle w:val="ListParagraph"/>
        <w:numPr>
          <w:ilvl w:val="0"/>
          <w:numId w:val="10"/>
        </w:numPr>
        <w:tabs>
          <w:tab w:val="left" w:pos="851"/>
        </w:tabs>
        <w:spacing w:after="0" w:line="240" w:lineRule="auto"/>
        <w:ind w:left="142" w:firstLine="425"/>
        <w:jc w:val="both"/>
        <w:rPr>
          <w:rFonts w:ascii="Times New Roman" w:eastAsia="Calibri" w:hAnsi="Times New Roman" w:cs="Times New Roman"/>
          <w:b/>
          <w:bCs/>
          <w:i/>
          <w:lang w:eastAsia="bg-BG"/>
        </w:rPr>
      </w:pPr>
      <w:r w:rsidRPr="00713AD5">
        <w:rPr>
          <w:rFonts w:ascii="Times New Roman" w:eastAsia="Calibri" w:hAnsi="Times New Roman" w:cs="Times New Roman"/>
          <w:b/>
          <w:bCs/>
          <w:i/>
          <w:lang w:eastAsia="bg-BG"/>
        </w:rPr>
        <w:t>Индикатор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p w:rsidR="00CC6C21" w:rsidRPr="00713AD5" w:rsidRDefault="00CC6C21" w:rsidP="00EA772F">
      <w:pPr>
        <w:spacing w:after="0" w:line="240" w:lineRule="auto"/>
        <w:ind w:firstLine="567"/>
        <w:jc w:val="both"/>
        <w:rPr>
          <w:rFonts w:ascii="Times New Roman" w:eastAsia="Times New Roman" w:hAnsi="Times New Roman" w:cs="Times New Roman"/>
          <w:lang w:eastAsia="bg-BG"/>
        </w:rPr>
      </w:pPr>
      <w:r w:rsidRPr="00713AD5">
        <w:rPr>
          <w:rFonts w:ascii="Times New Roman" w:eastAsia="Times New Roman" w:hAnsi="Times New Roman" w:cs="Times New Roman"/>
          <w:lang w:eastAsia="bg-BG"/>
        </w:rPr>
        <w:t xml:space="preserve">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извършените проверки на строежи и издадени строителни книжа. Резултатът трябва да клони </w:t>
      </w:r>
      <w:r w:rsidRPr="00713AD5">
        <w:rPr>
          <w:rFonts w:ascii="Times New Roman" w:eastAsia="Calibri" w:hAnsi="Times New Roman" w:cs="Times New Roman"/>
          <w:lang w:eastAsia="es-ES_tradnl"/>
        </w:rPr>
        <w:t xml:space="preserve">към </w:t>
      </w:r>
      <w:r w:rsidRPr="00713AD5">
        <w:rPr>
          <w:rFonts w:ascii="Times New Roman" w:eastAsia="Calibri" w:hAnsi="Times New Roman" w:cs="Times New Roman"/>
          <w:lang w:val="en-US" w:eastAsia="es-ES_tradnl"/>
        </w:rPr>
        <w:t>min</w:t>
      </w:r>
      <w:r w:rsidRPr="00713AD5">
        <w:rPr>
          <w:rFonts w:ascii="Times New Roman" w:eastAsia="Calibri" w:hAnsi="Times New Roman" w:cs="Times New Roman"/>
          <w:lang w:eastAsia="es-ES_tradnl"/>
        </w:rPr>
        <w:t xml:space="preserve"> . (1)</w:t>
      </w:r>
      <w:r w:rsidRPr="00713AD5">
        <w:rPr>
          <w:rFonts w:ascii="Times New Roman" w:eastAsia="Times New Roman" w:hAnsi="Times New Roman" w:cs="Times New Roman"/>
          <w:lang w:eastAsia="bg-BG"/>
        </w:rPr>
        <w:t xml:space="preserve"> </w:t>
      </w:r>
    </w:p>
    <w:p w:rsidR="00CC6C21" w:rsidRPr="00713AD5" w:rsidRDefault="00CC6C21" w:rsidP="00EA772F">
      <w:pPr>
        <w:spacing w:after="0" w:line="240" w:lineRule="auto"/>
        <w:ind w:firstLine="567"/>
        <w:jc w:val="both"/>
        <w:rPr>
          <w:rFonts w:ascii="Times New Roman" w:hAnsi="Times New Roman" w:cs="Times New Roman"/>
          <w:b/>
        </w:rPr>
      </w:pPr>
      <w:r w:rsidRPr="00713AD5">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CC6C21" w:rsidRPr="00713AD5" w:rsidRDefault="00CC6C21" w:rsidP="00EA772F">
      <w:pPr>
        <w:tabs>
          <w:tab w:val="num" w:pos="0"/>
        </w:tabs>
        <w:spacing w:after="0" w:line="240" w:lineRule="auto"/>
        <w:ind w:firstLine="567"/>
        <w:jc w:val="both"/>
        <w:rPr>
          <w:rFonts w:ascii="Times New Roman" w:eastAsia="Times New Roman" w:hAnsi="Times New Roman" w:cs="Times New Roman"/>
        </w:rPr>
      </w:pPr>
      <w:r w:rsidRPr="00713AD5">
        <w:rPr>
          <w:rFonts w:ascii="Times New Roman" w:eastAsia="Times New Roman" w:hAnsi="Times New Roman" w:cs="Times New Roman"/>
        </w:rPr>
        <w:t>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CC6C21" w:rsidRPr="00713AD5" w:rsidRDefault="00CC6C21" w:rsidP="00EA772F">
      <w:pPr>
        <w:spacing w:after="0" w:line="240" w:lineRule="auto"/>
        <w:ind w:firstLine="567"/>
        <w:jc w:val="both"/>
        <w:rPr>
          <w:rFonts w:ascii="Times New Roman" w:hAnsi="Times New Roman" w:cs="Times New Roman"/>
          <w:b/>
        </w:rPr>
      </w:pPr>
      <w:r w:rsidRPr="00713AD5">
        <w:rPr>
          <w:rFonts w:ascii="Times New Roman" w:eastAsia="Times New Roman" w:hAnsi="Times New Roman" w:cs="Times New Roman"/>
          <w:lang w:eastAsia="bg-BG"/>
        </w:rPr>
        <w:t xml:space="preserve">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EA772F" w:rsidRPr="00713AD5" w:rsidRDefault="00EA772F" w:rsidP="002717C5">
      <w:pPr>
        <w:pStyle w:val="ListParagraph"/>
        <w:numPr>
          <w:ilvl w:val="0"/>
          <w:numId w:val="10"/>
        </w:numPr>
        <w:tabs>
          <w:tab w:val="left" w:pos="851"/>
        </w:tabs>
        <w:spacing w:after="0" w:line="240" w:lineRule="auto"/>
        <w:ind w:left="0" w:firstLine="567"/>
        <w:jc w:val="both"/>
        <w:rPr>
          <w:rFonts w:ascii="Times New Roman" w:eastAsia="Times New Roman" w:hAnsi="Times New Roman" w:cs="Times New Roman"/>
        </w:rPr>
      </w:pPr>
      <w:r w:rsidRPr="00713AD5">
        <w:rPr>
          <w:rFonts w:ascii="Times New Roman" w:hAnsi="Times New Roman" w:cs="Times New Roman"/>
          <w:b/>
          <w:i/>
        </w:rPr>
        <w:t>Индикатор „Предоставени услуги от геодезически топографски и кадастрални данни“</w:t>
      </w:r>
      <w:r w:rsidRPr="00713AD5">
        <w:rPr>
          <w:rFonts w:ascii="Times New Roman" w:eastAsia="Times New Roman" w:hAnsi="Times New Roman" w:cs="Times New Roman"/>
        </w:rPr>
        <w:t xml:space="preserve"> отразява извършените за нуждите на ведомства, общини, физически и юридическите лица справки и услуги при условия и по ред, определени в ЗКИР, ЗГК и Тарифа № 14 за таксите, които се събират в системата на Министерството на регионалното развитие и благоустройството и от областните управители. Измерва стратегическа цел „Създаване,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w:t>
      </w:r>
    </w:p>
    <w:p w:rsidR="00B63001" w:rsidRPr="00713AD5" w:rsidRDefault="00B63001"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Индикатор „Поддържане на валидни сертификати, издадени на производители на строителни продукти, от лица за оценяване на строителни продукти“</w:t>
      </w:r>
      <w:r w:rsidRPr="00713AD5">
        <w:rPr>
          <w:rFonts w:ascii="Times New Roman" w:hAnsi="Times New Roman" w:cs="Times New Roman"/>
        </w:rPr>
        <w:t xml:space="preserve">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rsidR="00B63001" w:rsidRPr="00713AD5" w:rsidRDefault="00B63001"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 xml:space="preserve">Индикатор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w:t>
      </w:r>
      <w:r w:rsidRPr="00713AD5">
        <w:rPr>
          <w:rFonts w:ascii="Times New Roman" w:hAnsi="Times New Roman" w:cs="Times New Roman"/>
        </w:rPr>
        <w:t>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983C19" w:rsidRPr="00713AD5" w:rsidRDefault="00A30528"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 xml:space="preserve">Индикатор </w:t>
      </w:r>
      <w:r w:rsidR="00B63001" w:rsidRPr="00713AD5">
        <w:rPr>
          <w:rFonts w:ascii="Times New Roman" w:hAnsi="Times New Roman" w:cs="Times New Roman"/>
          <w:b/>
          <w:i/>
        </w:rPr>
        <w:t>„Поддържане на регулаторна база от технически нормативни актове за обследване, проектиране, изграждане и поддържане на строежите“</w:t>
      </w:r>
      <w:r w:rsidR="00B63001" w:rsidRPr="00713AD5">
        <w:rPr>
          <w:rFonts w:ascii="Times New Roman" w:hAnsi="Times New Roman" w:cs="Times New Roman"/>
        </w:rPr>
        <w:t xml:space="preserve">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w:t>
      </w:r>
      <w:r w:rsidR="00FB27E2" w:rsidRPr="00713AD5">
        <w:rPr>
          <w:rFonts w:ascii="Times New Roman" w:hAnsi="Times New Roman" w:cs="Times New Roman"/>
        </w:rPr>
        <w:t>и в областта на строителството“;</w:t>
      </w:r>
    </w:p>
    <w:p w:rsidR="00FB27E2" w:rsidRPr="00713AD5" w:rsidRDefault="002C1428"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Индикатор</w:t>
      </w:r>
      <w:r w:rsidR="00FB27E2" w:rsidRPr="00713AD5">
        <w:rPr>
          <w:rFonts w:ascii="Times New Roman" w:hAnsi="Times New Roman" w:cs="Times New Roman"/>
          <w:b/>
          <w:i/>
        </w:rPr>
        <w:t xml:space="preserve"> „Контролирана свлачищна територия“</w:t>
      </w:r>
      <w:r w:rsidR="00FB27E2" w:rsidRPr="00713AD5">
        <w:rPr>
          <w:rFonts w:ascii="Times New Roman" w:hAnsi="Times New Roman" w:cs="Times New Roman"/>
        </w:rPr>
        <w:t xml:space="preserve"> – </w:t>
      </w:r>
      <w:r w:rsidR="00BC4113" w:rsidRPr="00713AD5">
        <w:rPr>
          <w:rFonts w:ascii="Times New Roman" w:hAnsi="Times New Roman" w:cs="Times New Roman"/>
        </w:rPr>
        <w:t>индикаторът</w:t>
      </w:r>
      <w:r w:rsidR="00FB27E2" w:rsidRPr="00713AD5">
        <w:rPr>
          <w:rFonts w:ascii="Times New Roman" w:hAnsi="Times New Roman" w:cs="Times New Roman"/>
        </w:rPr>
        <w:t xml:space="preserve"> отразява площта в хектари (ха), предвидена за мониторинг и режимни изследвания на свлачищните райони на територията на страната, включващи измервания на контролно-измервателни системи в свлачища. </w:t>
      </w:r>
      <w:r w:rsidR="00BC4113" w:rsidRPr="00713AD5">
        <w:rPr>
          <w:rFonts w:ascii="Times New Roman" w:hAnsi="Times New Roman" w:cs="Times New Roman"/>
        </w:rPr>
        <w:t>Индикаторът</w:t>
      </w:r>
      <w:r w:rsidR="00FB27E2" w:rsidRPr="00713AD5">
        <w:rPr>
          <w:rFonts w:ascii="Times New Roman" w:hAnsi="Times New Roman" w:cs="Times New Roman"/>
        </w:rPr>
        <w:t xml:space="preserve"> се отнася към стратегическа цел: Превенция и ограничаване на свлачищните процеси на територията на страната и на ерозионните и абразионните процеси по Дунавското и Черноморското крайбрежие.</w:t>
      </w:r>
    </w:p>
    <w:p w:rsidR="00FB27E2" w:rsidRPr="00713AD5" w:rsidRDefault="002C1428"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 xml:space="preserve">Индикатор </w:t>
      </w:r>
      <w:r w:rsidR="00FB27E2" w:rsidRPr="00713AD5">
        <w:rPr>
          <w:rFonts w:ascii="Times New Roman" w:hAnsi="Times New Roman" w:cs="Times New Roman"/>
          <w:b/>
          <w:i/>
        </w:rPr>
        <w:t>„Решения на Министерския съвет за изменения и допълнения на списъка на общинските пътища“</w:t>
      </w:r>
      <w:r w:rsidR="00FB27E2" w:rsidRPr="00713AD5">
        <w:rPr>
          <w:rFonts w:ascii="Times New Roman" w:hAnsi="Times New Roman" w:cs="Times New Roman"/>
        </w:rPr>
        <w:t xml:space="preserve"> е на база предложения на общините за включване на нови пътни трасета или изменения на трасета в списъка на общинските пътища, одобрени и приети от Министерския съвет. </w:t>
      </w:r>
      <w:r w:rsidR="00BC4113" w:rsidRPr="00713AD5">
        <w:rPr>
          <w:rFonts w:ascii="Times New Roman" w:hAnsi="Times New Roman" w:cs="Times New Roman"/>
        </w:rPr>
        <w:t>Индикаторът</w:t>
      </w:r>
      <w:r w:rsidR="00FB27E2" w:rsidRPr="00713AD5">
        <w:rPr>
          <w:rFonts w:ascii="Times New Roman" w:hAnsi="Times New Roman" w:cs="Times New Roman"/>
        </w:rPr>
        <w:t xml:space="preserve"> се отнася към стратегическа цел: Нормативна и приложна дейност в областта на пътната инфраструктура.</w:t>
      </w:r>
    </w:p>
    <w:p w:rsidR="00FB27E2" w:rsidRPr="00713AD5" w:rsidRDefault="002C1428" w:rsidP="002717C5">
      <w:pPr>
        <w:pStyle w:val="ListParagraph"/>
        <w:numPr>
          <w:ilvl w:val="0"/>
          <w:numId w:val="10"/>
        </w:numPr>
        <w:tabs>
          <w:tab w:val="left" w:pos="851"/>
        </w:tabs>
        <w:spacing w:after="120" w:line="240" w:lineRule="auto"/>
        <w:ind w:left="0" w:firstLine="567"/>
        <w:jc w:val="both"/>
        <w:rPr>
          <w:rFonts w:ascii="Times New Roman" w:hAnsi="Times New Roman" w:cs="Times New Roman"/>
        </w:rPr>
      </w:pPr>
      <w:r w:rsidRPr="00713AD5">
        <w:rPr>
          <w:rFonts w:ascii="Times New Roman" w:hAnsi="Times New Roman" w:cs="Times New Roman"/>
          <w:b/>
          <w:i/>
        </w:rPr>
        <w:t xml:space="preserve">Индикатор </w:t>
      </w:r>
      <w:r w:rsidR="00FB27E2" w:rsidRPr="00713AD5">
        <w:rPr>
          <w:rFonts w:ascii="Times New Roman" w:hAnsi="Times New Roman" w:cs="Times New Roman"/>
          <w:b/>
          <w:i/>
        </w:rPr>
        <w:t>„Завършен благоустройствен пътен обект/подобрена жизнена среда“</w:t>
      </w:r>
      <w:r w:rsidR="00FB27E2" w:rsidRPr="00713AD5">
        <w:rPr>
          <w:rFonts w:ascii="Times New Roman" w:hAnsi="Times New Roman" w:cs="Times New Roman"/>
        </w:rPr>
        <w:t xml:space="preserve"> е на база издадено Разрешение за ползване/Удостоверение за въвеждане в експлоатация.  </w:t>
      </w:r>
      <w:r w:rsidR="00BC4113" w:rsidRPr="00713AD5">
        <w:rPr>
          <w:rFonts w:ascii="Times New Roman" w:hAnsi="Times New Roman" w:cs="Times New Roman"/>
        </w:rPr>
        <w:t>Индикаторът</w:t>
      </w:r>
      <w:r w:rsidR="00FB27E2" w:rsidRPr="00713AD5">
        <w:rPr>
          <w:rFonts w:ascii="Times New Roman" w:hAnsi="Times New Roman" w:cs="Times New Roman"/>
        </w:rPr>
        <w:t xml:space="preserve"> се отнася към стратегическа цел: Качествено транспортно обслужване по местни пътища; Подобряване н</w:t>
      </w:r>
      <w:r w:rsidRPr="00713AD5">
        <w:rPr>
          <w:rFonts w:ascii="Times New Roman" w:hAnsi="Times New Roman" w:cs="Times New Roman"/>
        </w:rPr>
        <w:t>а качеството на жизнената среда;</w:t>
      </w:r>
    </w:p>
    <w:p w:rsidR="002C1428" w:rsidRPr="00713AD5" w:rsidRDefault="002C1428" w:rsidP="0000730B">
      <w:pPr>
        <w:pStyle w:val="ListParagraph"/>
        <w:numPr>
          <w:ilvl w:val="0"/>
          <w:numId w:val="10"/>
        </w:numPr>
        <w:tabs>
          <w:tab w:val="left" w:pos="851"/>
        </w:tabs>
        <w:spacing w:line="240" w:lineRule="auto"/>
        <w:ind w:left="0" w:firstLine="567"/>
        <w:jc w:val="both"/>
        <w:rPr>
          <w:rFonts w:ascii="Times New Roman" w:hAnsi="Times New Roman" w:cs="Times New Roman"/>
        </w:rPr>
      </w:pPr>
      <w:r w:rsidRPr="00713AD5">
        <w:rPr>
          <w:rFonts w:ascii="Times New Roman" w:hAnsi="Times New Roman" w:cs="Times New Roman"/>
          <w:b/>
          <w:i/>
        </w:rPr>
        <w:t xml:space="preserve">Индикатор „Обезпечаване на територията на страната с общи устройствени планове“ </w:t>
      </w:r>
      <w:r w:rsidRPr="00713AD5">
        <w:rPr>
          <w:rFonts w:ascii="Times New Roman" w:hAnsi="Times New Roman" w:cs="Times New Roman"/>
        </w:rPr>
        <w:t>изпълнява стратегическа цел 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w:t>
      </w:r>
      <w:r w:rsidR="0000730B" w:rsidRPr="00713AD5">
        <w:rPr>
          <w:rFonts w:ascii="Times New Roman" w:hAnsi="Times New Roman" w:cs="Times New Roman"/>
        </w:rPr>
        <w:t>лтурно-историческото наследство;</w:t>
      </w:r>
    </w:p>
    <w:p w:rsidR="0000730B" w:rsidRPr="00713AD5" w:rsidRDefault="0000730B" w:rsidP="0000730B">
      <w:pPr>
        <w:pStyle w:val="ListParagraph"/>
        <w:numPr>
          <w:ilvl w:val="0"/>
          <w:numId w:val="10"/>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b/>
          <w:i/>
        </w:rPr>
        <w:t xml:space="preserve">По отношение на индикаторите, изпълнявани от Агенция „Пътна инфраструктура“ се </w:t>
      </w:r>
      <w:r w:rsidRPr="00713AD5">
        <w:rPr>
          <w:rFonts w:ascii="Times New Roman" w:hAnsi="Times New Roman" w:cs="Times New Roman"/>
        </w:rPr>
        <w:t>изпълняват</w:t>
      </w:r>
      <w:r w:rsidRPr="00713AD5">
        <w:rPr>
          <w:rFonts w:ascii="Times New Roman" w:eastAsia="SimSun" w:hAnsi="Times New Roman" w:cs="Times New Roman"/>
        </w:rPr>
        <w:t xml:space="preserve"> следните </w:t>
      </w:r>
      <w:r w:rsidRPr="00713AD5">
        <w:rPr>
          <w:rFonts w:ascii="Times New Roman" w:hAnsi="Times New Roman" w:cs="Times New Roman"/>
        </w:rPr>
        <w:t>цели и мерки:</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Въвеждане на по-справедлив модел за таксуване за ползване на републиканската пътна мрежа, чрез въвеждане на смесена система: електронна винетка за леки автомобили и тол такса за изминато разстояние за тежкотоварните автомобили</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 xml:space="preserve">През 2020 г. </w:t>
      </w:r>
      <w:r w:rsidRPr="00713AD5">
        <w:rPr>
          <w:rFonts w:ascii="Times New Roman" w:hAnsi="Times New Roman" w:cs="Times New Roman"/>
          <w:lang w:val="en-US"/>
        </w:rPr>
        <w:t>e</w:t>
      </w:r>
      <w:r w:rsidRPr="00713AD5">
        <w:rPr>
          <w:rFonts w:ascii="Times New Roman" w:hAnsi="Times New Roman" w:cs="Times New Roman"/>
        </w:rPr>
        <w:t xml:space="preserve"> внедр</w:t>
      </w:r>
      <w:r w:rsidRPr="00713AD5">
        <w:rPr>
          <w:rFonts w:ascii="Times New Roman" w:hAnsi="Times New Roman" w:cs="Times New Roman"/>
          <w:lang w:val="en-US"/>
        </w:rPr>
        <w:t>e</w:t>
      </w:r>
      <w:r w:rsidRPr="00713AD5">
        <w:rPr>
          <w:rFonts w:ascii="Times New Roman" w:hAnsi="Times New Roman" w:cs="Times New Roman"/>
        </w:rPr>
        <w:t>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 xml:space="preserve">В прогнозата е отразено очаквано нарастване на приходите за трите години във връзка с предприети действия от АПИ за актуализиране на „Тарифа за таксите, които се събират за преминаване и ползване на републиканската пътна мрежа“. С приемането на проекта на Постановление на Министерския съвет са прецизирани текстовете на Тарифата, които уреждат заплащането на таксите по чл. 10, ал. 1 и ал. 2 от Закона за пътищата и ще бъдат актуализирани размерите на таксата на база изминато разстояние (тол такса). </w:t>
      </w:r>
    </w:p>
    <w:p w:rsidR="0000730B" w:rsidRPr="00713AD5" w:rsidRDefault="0000730B" w:rsidP="0000730B">
      <w:pPr>
        <w:tabs>
          <w:tab w:val="left" w:pos="1134"/>
        </w:tabs>
        <w:spacing w:after="0" w:line="240" w:lineRule="auto"/>
        <w:ind w:firstLine="567"/>
        <w:jc w:val="both"/>
        <w:rPr>
          <w:rFonts w:ascii="Times New Roman" w:hAnsi="Times New Roman" w:cs="Times New Roman"/>
        </w:rPr>
      </w:pPr>
      <w:r w:rsidRPr="00713AD5">
        <w:rPr>
          <w:rFonts w:ascii="Times New Roman" w:hAnsi="Times New Roman" w:cs="Times New Roman"/>
        </w:rPr>
        <w:t>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общо – икономическо въздействие, върху сектор „Транспорт“ и върху различни участници от веригата на добавената стойност.  За МРРБ и АПИ е предвидено увеличаване на приходите от пътни такси.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С извършената промяна на тарифата освен предвиденото увеличаване на събраните приходи, се постига изпълнението и на следните цели:</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Цел 1 „Актуализиране на размера на тол таксите и определяне на размер за тол такси за пътища II – ри клас “ -  целта на актуализацията на размера на таксата за изминато разстояние - тол такса за пътни превозни средства по чл. 10б, ал. 3 от ЗП е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Актуализацията е съобразена с разработените от Световна банка сценарии, като по този начин се доближаваме максимално до таксите на съседните на Република България страни. На следващо място, е уеднаквен подходът към ползвателите на платената пътна мрежа в страната – за движение по второкласната пътна мрежа, включена в обхвата на републиканската пътна мрежа, освен лекотоварните ППС, пътна такса заплащат и тежкотоварните ППС.</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Цел 2 „Отпадане на категоризацията на пътните превозни средства по Тарифа за таксите, които се събират за преминаване и ползване на републиканската пътна мрежа “ - С актуализацията отпада категоризацията на пътните превозни средства по Тарифа за таксите, които се събират за преминаване и ползване на републиканската пътна мрежа, което ще доведе до избягване на противоречия при прилагането ѝ.</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Цел 3 „Отпадане на облекчения режим на таксуване за пътни превозни средства над 3, 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 целта е отпадане на облекчения режим на таксуване за пътни превозни средства над 3, 5 тона, използващи като единствен източник алтернативно гориво по</w:t>
      </w:r>
      <w:r w:rsidRPr="00713AD5">
        <w:rPr>
          <w:lang w:val="en-US"/>
        </w:rPr>
        <w:t xml:space="preserve"> </w:t>
      </w:r>
      <w:r w:rsidRPr="00713AD5">
        <w:rPr>
          <w:rFonts w:ascii="Times New Roman" w:hAnsi="Times New Roman" w:cs="Times New Roman"/>
        </w:rPr>
        <w:t>реда на чл. 27, ал. 2 от Тарифа за таксите, които се събират за преминаване и ползване на републиканската пътна мрежа. По този начин ще бъде спазен основният принцип на ЕС „ползвателят плаща“ и ще бъде увеличен основният приход от пътни такси, чието предназначение е за изграждане/рехабилитация на републиканската пътна мрежа.</w:t>
      </w:r>
    </w:p>
    <w:p w:rsidR="0000730B" w:rsidRPr="00713AD5" w:rsidRDefault="0000730B" w:rsidP="0000730B">
      <w:pPr>
        <w:spacing w:after="0" w:line="240" w:lineRule="auto"/>
        <w:ind w:firstLine="567"/>
        <w:jc w:val="both"/>
        <w:rPr>
          <w:rFonts w:ascii="Times New Roman" w:hAnsi="Times New Roman" w:cs="Times New Roman"/>
        </w:rPr>
      </w:pPr>
      <w:r w:rsidRPr="00713AD5">
        <w:rPr>
          <w:rFonts w:ascii="Times New Roman" w:hAnsi="Times New Roman" w:cs="Times New Roman"/>
        </w:rPr>
        <w:t>Изграждането на модерна и безопасна пътна инфраструктура е основен приоритет за АПИ чрез д</w:t>
      </w:r>
      <w:r w:rsidRPr="00713AD5">
        <w:rPr>
          <w:rFonts w:ascii="Times New Roman" w:eastAsia="Times New Roman" w:hAnsi="Times New Roman" w:cs="Times New Roman"/>
          <w:lang w:eastAsia="bg-BG"/>
        </w:rPr>
        <w:t>оизграждането на магистралните и скоростни трасета, което ще допринесе до затваряне на автомагистралния пръстен на Р</w:t>
      </w:r>
      <w:r w:rsidR="00BC4113" w:rsidRPr="00713AD5">
        <w:rPr>
          <w:rFonts w:ascii="Times New Roman" w:eastAsia="Times New Roman" w:hAnsi="Times New Roman" w:cs="Times New Roman"/>
          <w:lang w:eastAsia="bg-BG"/>
        </w:rPr>
        <w:t xml:space="preserve">епублика </w:t>
      </w:r>
      <w:r w:rsidRPr="00713AD5">
        <w:rPr>
          <w:rFonts w:ascii="Times New Roman" w:eastAsia="Times New Roman" w:hAnsi="Times New Roman" w:cs="Times New Roman"/>
          <w:lang w:eastAsia="bg-BG"/>
        </w:rPr>
        <w:t xml:space="preserve">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 </w:t>
      </w:r>
      <w:r w:rsidRPr="00713AD5">
        <w:rPr>
          <w:rFonts w:ascii="Times New Roman" w:hAnsi="Times New Roman" w:cs="Times New Roman"/>
        </w:rPr>
        <w:t>Тази цел ще бъде постигната чрез реализацията на стратегически инфраструктурни проекти, като:</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lang w:val="en-US"/>
        </w:rPr>
      </w:pPr>
      <w:r w:rsidRPr="00713AD5">
        <w:rPr>
          <w:rFonts w:ascii="Times New Roman" w:hAnsi="Times New Roman" w:cs="Times New Roman"/>
        </w:rPr>
        <w:t>АМ „Европа“  от км 32+447,20 до км 48+903“</w:t>
      </w:r>
      <w:r w:rsidRPr="00713AD5">
        <w:rPr>
          <w:rFonts w:ascii="Times New Roman" w:hAnsi="Times New Roman" w:cs="Times New Roman"/>
          <w:lang w:val="en-US"/>
        </w:rPr>
        <w:t>;</w:t>
      </w:r>
    </w:p>
    <w:p w:rsidR="0000730B" w:rsidRPr="00713AD5" w:rsidRDefault="0000730B" w:rsidP="0000730B">
      <w:pPr>
        <w:pStyle w:val="ListParagraph"/>
        <w:numPr>
          <w:ilvl w:val="0"/>
          <w:numId w:val="19"/>
        </w:numPr>
        <w:tabs>
          <w:tab w:val="left" w:pos="851"/>
        </w:tabs>
        <w:spacing w:after="0" w:line="240" w:lineRule="auto"/>
        <w:ind w:left="0" w:firstLine="567"/>
        <w:jc w:val="both"/>
        <w:rPr>
          <w:rFonts w:ascii="Times New Roman" w:hAnsi="Times New Roman" w:cs="Times New Roman"/>
          <w:lang w:val="en-US"/>
        </w:rPr>
      </w:pPr>
      <w:r w:rsidRPr="00713AD5">
        <w:rPr>
          <w:rFonts w:ascii="Times New Roman" w:hAnsi="Times New Roman" w:cs="Times New Roman"/>
          <w:lang w:val="en-US"/>
        </w:rPr>
        <w:t>Автомагистрала Европа от км 15+500 до км 48+903</w:t>
      </w:r>
      <w:r w:rsidR="00452A6D" w:rsidRPr="00713AD5">
        <w:rPr>
          <w:rFonts w:ascii="Times New Roman" w:hAnsi="Times New Roman" w:cs="Times New Roman"/>
        </w:rPr>
        <w:t>;</w:t>
      </w:r>
    </w:p>
    <w:p w:rsidR="0000730B" w:rsidRPr="00713AD5" w:rsidRDefault="0000730B" w:rsidP="0000730B">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„Обход на гр. Габрово от км 20+124,50 до км 30+673,48, включително тунел под връх Шипка“</w:t>
      </w:r>
      <w:r w:rsidRPr="00713AD5">
        <w:rPr>
          <w:rFonts w:ascii="Times New Roman" w:hAnsi="Times New Roman" w:cs="Times New Roman"/>
          <w:lang w:val="en-US"/>
        </w:rPr>
        <w:t>;</w:t>
      </w:r>
    </w:p>
    <w:p w:rsidR="0000730B" w:rsidRPr="00713AD5" w:rsidRDefault="0000730B" w:rsidP="0000730B">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АМ „Русе – Велико Търново“</w:t>
      </w:r>
      <w:r w:rsidRPr="00713AD5">
        <w:rPr>
          <w:rFonts w:ascii="Times New Roman" w:hAnsi="Times New Roman" w:cs="Times New Roman"/>
          <w:lang w:val="en-US"/>
        </w:rPr>
        <w:t>;</w:t>
      </w:r>
    </w:p>
    <w:p w:rsidR="0000730B" w:rsidRPr="00713AD5" w:rsidRDefault="0000730B" w:rsidP="0000730B">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Реконструкция и разширение на Софийски околовръстен път от км 50+500 (малко преди ул. „Ралевица“) до км 58+602 (АМ „Струма“) разделена на 3 обособени позиции ППР +СМР</w:t>
      </w:r>
      <w:r w:rsidRPr="00713AD5">
        <w:rPr>
          <w:rFonts w:ascii="Times New Roman" w:hAnsi="Times New Roman" w:cs="Times New Roman"/>
          <w:lang w:val="en-US"/>
        </w:rPr>
        <w:t>;</w:t>
      </w:r>
    </w:p>
    <w:p w:rsidR="0000730B" w:rsidRPr="00713AD5" w:rsidRDefault="0000730B" w:rsidP="0000730B">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„Автомагистрала „Русе - Велико Търново“ от пресичането с път I-3 до края на трасето (от км 76+040 до км 133+240)“ , по две обособени позиции: Обособена позиция № 1: Подучастък № 1: от км 76+040 до км 104+000 Обособена позиция № 2: Подучастък № 2: от км 104+000 до км 133+240“</w:t>
      </w:r>
      <w:r w:rsidR="00452A6D" w:rsidRPr="00713AD5">
        <w:rPr>
          <w:rFonts w:ascii="Times New Roman" w:hAnsi="Times New Roman" w:cs="Times New Roman"/>
        </w:rPr>
        <w:t>;</w:t>
      </w:r>
      <w:r w:rsidRPr="00713AD5">
        <w:rPr>
          <w:rFonts w:ascii="Times New Roman" w:hAnsi="Times New Roman" w:cs="Times New Roman"/>
        </w:rPr>
        <w:tab/>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РП II-56 "Пътен възел Скобелева майка" - Път II-86 /Югоизточен обход на Пловдив/, привеждане от проектен габарит Г10,50 към Г20 на участъкът от км 98+000 до км 102+820</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Модернизация на път I-1 (Е79) "Видин - Ботевград" по три основни позиции, за обособена позиция 1 - Път  I-1 "Видин - п.в. Макреш" от км 3+757 до км 33+400</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"Модернизация на път I-1 (Е79) ""Видин - Ботевград"" от км 33+400 до км 102+060 (км 99+193 – километраж по проект), разделен на пет участъка</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Път І-1 /Е-79/ Мездра – Ботевград Лот 2 от км 161+367 до км 174 +800</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Път I-1 /E-79/ Мездра - Ботевград ЛОТ 1 от км 174+800 до км 194+122</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Изграждане на</w:t>
      </w:r>
      <w:r w:rsidRPr="00713AD5">
        <w:rPr>
          <w:rFonts w:ascii="Times New Roman" w:hAnsi="Times New Roman" w:cs="Times New Roman"/>
          <w:lang w:val="en-US"/>
        </w:rPr>
        <w:t xml:space="preserve"> 6</w:t>
      </w:r>
      <w:r w:rsidRPr="00713AD5">
        <w:rPr>
          <w:rFonts w:ascii="Times New Roman" w:hAnsi="Times New Roman" w:cs="Times New Roman"/>
        </w:rPr>
        <w:t xml:space="preserve"> участъ</w:t>
      </w:r>
      <w:r w:rsidRPr="00713AD5">
        <w:rPr>
          <w:rFonts w:ascii="Times New Roman" w:hAnsi="Times New Roman" w:cs="Times New Roman"/>
          <w:lang w:val="en-US"/>
        </w:rPr>
        <w:t>кa</w:t>
      </w:r>
      <w:r w:rsidRPr="00713AD5">
        <w:rPr>
          <w:rFonts w:ascii="Times New Roman" w:hAnsi="Times New Roman" w:cs="Times New Roman"/>
        </w:rPr>
        <w:t xml:space="preserve"> от АМ Хемус</w:t>
      </w:r>
      <w:r w:rsidR="00452A6D" w:rsidRPr="00713AD5">
        <w:rPr>
          <w:rFonts w:ascii="Times New Roman" w:hAnsi="Times New Roman" w:cs="Times New Roman"/>
        </w:rPr>
        <w:t>;</w:t>
      </w:r>
    </w:p>
    <w:p w:rsidR="0000730B"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Доизграждане на АМ „Хемус“ от км 222+000 до км 310+940, разделен на три участъка: Участък 9 от км 299+000 (след пътен възел „Лозница“, пресичане с път II-49 - по идеен проект) до км 310+940 (начало на участък в строителство), включително пътен възел „Буховци – юг“ (при пресичането на път I-4 с път III-5102)</w:t>
      </w:r>
      <w:r w:rsidR="00452A6D" w:rsidRPr="00713AD5">
        <w:rPr>
          <w:rFonts w:ascii="Times New Roman" w:hAnsi="Times New Roman" w:cs="Times New Roman"/>
        </w:rPr>
        <w:t>;</w:t>
      </w:r>
    </w:p>
    <w:p w:rsidR="00EA772F" w:rsidRPr="00713AD5" w:rsidRDefault="0000730B" w:rsidP="00452A6D">
      <w:pPr>
        <w:pStyle w:val="ListParagraph"/>
        <w:numPr>
          <w:ilvl w:val="0"/>
          <w:numId w:val="19"/>
        </w:numPr>
        <w:tabs>
          <w:tab w:val="left" w:pos="851"/>
        </w:tabs>
        <w:spacing w:after="0" w:line="240" w:lineRule="auto"/>
        <w:ind w:left="0" w:firstLine="567"/>
        <w:jc w:val="both"/>
        <w:rPr>
          <w:rFonts w:ascii="Times New Roman" w:hAnsi="Times New Roman" w:cs="Times New Roman"/>
        </w:rPr>
      </w:pPr>
      <w:r w:rsidRPr="00713AD5">
        <w:rPr>
          <w:rFonts w:ascii="Times New Roman" w:hAnsi="Times New Roman" w:cs="Times New Roman"/>
        </w:rPr>
        <w:t>АМ „Хемус“, участък от км 310+940 до км 327+260“</w:t>
      </w:r>
      <w:r w:rsidR="00452A6D" w:rsidRPr="00713AD5">
        <w:rPr>
          <w:rFonts w:ascii="Times New Roman" w:hAnsi="Times New Roman" w:cs="Times New Roman"/>
        </w:rPr>
        <w:t>.</w:t>
      </w:r>
    </w:p>
    <w:sectPr w:rsidR="00EA772F" w:rsidRPr="00713AD5" w:rsidSect="00424B2C">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B8" w:rsidRDefault="00D209B8" w:rsidP="00F92CB4">
      <w:pPr>
        <w:spacing w:after="0" w:line="240" w:lineRule="auto"/>
      </w:pPr>
      <w:r>
        <w:separator/>
      </w:r>
    </w:p>
  </w:endnote>
  <w:endnote w:type="continuationSeparator" w:id="0">
    <w:p w:rsidR="00D209B8" w:rsidRDefault="00D209B8" w:rsidP="00F9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B8" w:rsidRDefault="00D209B8" w:rsidP="00F92CB4">
      <w:pPr>
        <w:spacing w:after="0" w:line="240" w:lineRule="auto"/>
      </w:pPr>
      <w:r>
        <w:separator/>
      </w:r>
    </w:p>
  </w:footnote>
  <w:footnote w:type="continuationSeparator" w:id="0">
    <w:p w:rsidR="00D209B8" w:rsidRDefault="00D209B8" w:rsidP="00F92CB4">
      <w:pPr>
        <w:spacing w:after="0" w:line="240" w:lineRule="auto"/>
      </w:pPr>
      <w:r>
        <w:continuationSeparator/>
      </w:r>
    </w:p>
  </w:footnote>
  <w:footnote w:id="1">
    <w:p w:rsidR="00F92CB4" w:rsidRPr="00F92CB4" w:rsidRDefault="00F92CB4" w:rsidP="00F92CB4">
      <w:pPr>
        <w:pStyle w:val="FootnoteText"/>
        <w:jc w:val="both"/>
        <w:rPr>
          <w:rFonts w:ascii="Times New Roman" w:eastAsia="Times New Roman" w:hAnsi="Times New Roman" w:cs="Times New Roman"/>
          <w:sz w:val="18"/>
          <w:szCs w:val="18"/>
          <w:lang w:eastAsia="bg-BG"/>
        </w:rPr>
      </w:pPr>
      <w:r>
        <w:rPr>
          <w:rStyle w:val="FootnoteReference"/>
        </w:rPr>
        <w:footnoteRef/>
      </w:r>
      <w:r>
        <w:t xml:space="preserve"> </w:t>
      </w:r>
      <w:r w:rsidRPr="00F92CB4">
        <w:rPr>
          <w:rFonts w:ascii="Times New Roman" w:eastAsia="Times New Roman" w:hAnsi="Times New Roman" w:cs="Times New Roman"/>
          <w:sz w:val="18"/>
          <w:szCs w:val="18"/>
          <w:lang w:eastAsia="bg-BG"/>
        </w:rPr>
        <w:t>Предвижда се през 202</w:t>
      </w:r>
      <w:r w:rsidR="006D5208">
        <w:rPr>
          <w:rFonts w:ascii="Times New Roman" w:eastAsia="Times New Roman" w:hAnsi="Times New Roman" w:cs="Times New Roman"/>
          <w:sz w:val="18"/>
          <w:szCs w:val="18"/>
          <w:lang w:eastAsia="bg-BG"/>
        </w:rPr>
        <w:t xml:space="preserve">5 г. да бъде разработена нова </w:t>
      </w:r>
      <w:r w:rsidRPr="00F92CB4">
        <w:rPr>
          <w:rFonts w:ascii="Times New Roman" w:eastAsia="Times New Roman" w:hAnsi="Times New Roman" w:cs="Times New Roman"/>
          <w:sz w:val="18"/>
          <w:szCs w:val="18"/>
          <w:lang w:eastAsia="bg-BG"/>
        </w:rPr>
        <w:t>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p w:rsidR="00F92CB4" w:rsidRPr="00F92CB4" w:rsidRDefault="00F92CB4" w:rsidP="00F92CB4">
      <w:pPr>
        <w:spacing w:after="0" w:line="240" w:lineRule="auto"/>
        <w:jc w:val="both"/>
        <w:rPr>
          <w:rFonts w:ascii="Times New Roman" w:eastAsia="Times New Roman" w:hAnsi="Times New Roman" w:cs="Times New Roman"/>
          <w:sz w:val="18"/>
          <w:szCs w:val="18"/>
          <w:lang w:eastAsia="bg-BG"/>
        </w:rPr>
      </w:pPr>
    </w:p>
    <w:p w:rsidR="00F92CB4" w:rsidRDefault="00F92C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86A"/>
    <w:multiLevelType w:val="hybridMultilevel"/>
    <w:tmpl w:val="C59C9DCC"/>
    <w:lvl w:ilvl="0" w:tplc="44E8DCB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24149"/>
    <w:multiLevelType w:val="hybridMultilevel"/>
    <w:tmpl w:val="A244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168A0"/>
    <w:multiLevelType w:val="hybridMultilevel"/>
    <w:tmpl w:val="E4985032"/>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1">
      <w:start w:val="1"/>
      <w:numFmt w:val="bullet"/>
      <w:lvlText w:val=""/>
      <w:lvlJc w:val="left"/>
      <w:pPr>
        <w:tabs>
          <w:tab w:val="num" w:pos="274"/>
        </w:tabs>
        <w:ind w:left="274" w:hanging="360"/>
      </w:pPr>
      <w:rPr>
        <w:rFonts w:ascii="Symbol" w:hAnsi="Symbol"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3" w15:restartNumberingAfterBreak="0">
    <w:nsid w:val="14FB2120"/>
    <w:multiLevelType w:val="hybridMultilevel"/>
    <w:tmpl w:val="CBCC0E16"/>
    <w:lvl w:ilvl="0" w:tplc="BE881F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35647B1"/>
    <w:multiLevelType w:val="hybridMultilevel"/>
    <w:tmpl w:val="E5EE7A98"/>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2A3E3ADA"/>
    <w:multiLevelType w:val="hybridMultilevel"/>
    <w:tmpl w:val="F856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31E92"/>
    <w:multiLevelType w:val="hybridMultilevel"/>
    <w:tmpl w:val="ADD076C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35AD6D58"/>
    <w:multiLevelType w:val="hybridMultilevel"/>
    <w:tmpl w:val="2CE6D4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1E950AE"/>
    <w:multiLevelType w:val="hybridMultilevel"/>
    <w:tmpl w:val="1B7480D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E6709AB"/>
    <w:multiLevelType w:val="hybridMultilevel"/>
    <w:tmpl w:val="6EDECB90"/>
    <w:lvl w:ilvl="0" w:tplc="E092DAD4">
      <w:start w:val="20"/>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E6890"/>
    <w:multiLevelType w:val="hybridMultilevel"/>
    <w:tmpl w:val="4B80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D18D2"/>
    <w:multiLevelType w:val="hybridMultilevel"/>
    <w:tmpl w:val="7D42B2C8"/>
    <w:lvl w:ilvl="0" w:tplc="135E625A">
      <w:start w:val="20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B079A"/>
    <w:multiLevelType w:val="hybridMultilevel"/>
    <w:tmpl w:val="794E1D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8F312BD"/>
    <w:multiLevelType w:val="hybridMultilevel"/>
    <w:tmpl w:val="E55C9F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F475052"/>
    <w:multiLevelType w:val="hybridMultilevel"/>
    <w:tmpl w:val="232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A637E"/>
    <w:multiLevelType w:val="hybridMultilevel"/>
    <w:tmpl w:val="EAB0E9B2"/>
    <w:lvl w:ilvl="0" w:tplc="08F4D374">
      <w:start w:val="10"/>
      <w:numFmt w:val="decimal"/>
      <w:lvlText w:val="%1."/>
      <w:lvlJc w:val="left"/>
      <w:pPr>
        <w:ind w:left="749" w:hanging="360"/>
      </w:pPr>
      <w:rPr>
        <w:rFonts w:hint="default"/>
        <w:sz w:val="16"/>
        <w:szCs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9422A32"/>
    <w:multiLevelType w:val="hybridMultilevel"/>
    <w:tmpl w:val="1C8EC968"/>
    <w:lvl w:ilvl="0" w:tplc="E5F80B04">
      <w:start w:val="90"/>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43ABC"/>
    <w:multiLevelType w:val="hybridMultilevel"/>
    <w:tmpl w:val="F9082B0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7BE4278D"/>
    <w:multiLevelType w:val="hybridMultilevel"/>
    <w:tmpl w:val="E92008D2"/>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num w:numId="1">
    <w:abstractNumId w:val="7"/>
  </w:num>
  <w:num w:numId="2">
    <w:abstractNumId w:val="17"/>
  </w:num>
  <w:num w:numId="3">
    <w:abstractNumId w:val="12"/>
  </w:num>
  <w:num w:numId="4">
    <w:abstractNumId w:val="14"/>
  </w:num>
  <w:num w:numId="5">
    <w:abstractNumId w:val="18"/>
  </w:num>
  <w:num w:numId="6">
    <w:abstractNumId w:val="1"/>
  </w:num>
  <w:num w:numId="7">
    <w:abstractNumId w:val="11"/>
  </w:num>
  <w:num w:numId="8">
    <w:abstractNumId w:val="13"/>
  </w:num>
  <w:num w:numId="9">
    <w:abstractNumId w:val="10"/>
  </w:num>
  <w:num w:numId="10">
    <w:abstractNumId w:val="8"/>
  </w:num>
  <w:num w:numId="11">
    <w:abstractNumId w:val="0"/>
  </w:num>
  <w:num w:numId="12">
    <w:abstractNumId w:val="6"/>
  </w:num>
  <w:num w:numId="13">
    <w:abstractNumId w:val="3"/>
  </w:num>
  <w:num w:numId="14">
    <w:abstractNumId w:val="5"/>
  </w:num>
  <w:num w:numId="15">
    <w:abstractNumId w:val="15"/>
  </w:num>
  <w:num w:numId="16">
    <w:abstractNumId w:val="9"/>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82"/>
    <w:rsid w:val="000023B8"/>
    <w:rsid w:val="0000730B"/>
    <w:rsid w:val="00015FBE"/>
    <w:rsid w:val="000271A0"/>
    <w:rsid w:val="000343BD"/>
    <w:rsid w:val="0004181F"/>
    <w:rsid w:val="00041B49"/>
    <w:rsid w:val="00042129"/>
    <w:rsid w:val="000437CD"/>
    <w:rsid w:val="000443A4"/>
    <w:rsid w:val="00073599"/>
    <w:rsid w:val="00091C5B"/>
    <w:rsid w:val="000A695A"/>
    <w:rsid w:val="000C4721"/>
    <w:rsid w:val="000D0F1D"/>
    <w:rsid w:val="000F14E6"/>
    <w:rsid w:val="001210D8"/>
    <w:rsid w:val="001221E4"/>
    <w:rsid w:val="00140C4D"/>
    <w:rsid w:val="00161584"/>
    <w:rsid w:val="00166C58"/>
    <w:rsid w:val="00170B4E"/>
    <w:rsid w:val="001836D9"/>
    <w:rsid w:val="001A6EE1"/>
    <w:rsid w:val="001C2955"/>
    <w:rsid w:val="001E6C6E"/>
    <w:rsid w:val="002078BF"/>
    <w:rsid w:val="00223EEC"/>
    <w:rsid w:val="00227A38"/>
    <w:rsid w:val="00230093"/>
    <w:rsid w:val="00232C93"/>
    <w:rsid w:val="00235BF0"/>
    <w:rsid w:val="00251209"/>
    <w:rsid w:val="002717C5"/>
    <w:rsid w:val="002814EC"/>
    <w:rsid w:val="00292E11"/>
    <w:rsid w:val="002B0B87"/>
    <w:rsid w:val="002B779D"/>
    <w:rsid w:val="002C1428"/>
    <w:rsid w:val="002F5266"/>
    <w:rsid w:val="0032516B"/>
    <w:rsid w:val="00335542"/>
    <w:rsid w:val="00336A09"/>
    <w:rsid w:val="00357E63"/>
    <w:rsid w:val="00390DCC"/>
    <w:rsid w:val="004169EE"/>
    <w:rsid w:val="00417038"/>
    <w:rsid w:val="00422DB5"/>
    <w:rsid w:val="00424B2C"/>
    <w:rsid w:val="00431DD5"/>
    <w:rsid w:val="00452A6D"/>
    <w:rsid w:val="004718D8"/>
    <w:rsid w:val="00486511"/>
    <w:rsid w:val="004A51E6"/>
    <w:rsid w:val="004C69C4"/>
    <w:rsid w:val="004D0BEF"/>
    <w:rsid w:val="004D6822"/>
    <w:rsid w:val="004E1EA2"/>
    <w:rsid w:val="0050131E"/>
    <w:rsid w:val="00503A52"/>
    <w:rsid w:val="0050450F"/>
    <w:rsid w:val="0051757E"/>
    <w:rsid w:val="005678F7"/>
    <w:rsid w:val="00572E70"/>
    <w:rsid w:val="005774C5"/>
    <w:rsid w:val="00592B45"/>
    <w:rsid w:val="005973A4"/>
    <w:rsid w:val="005A1305"/>
    <w:rsid w:val="005A56E6"/>
    <w:rsid w:val="005D3520"/>
    <w:rsid w:val="005E672A"/>
    <w:rsid w:val="005F0A1B"/>
    <w:rsid w:val="005F3250"/>
    <w:rsid w:val="005F7543"/>
    <w:rsid w:val="00636F1F"/>
    <w:rsid w:val="006500A5"/>
    <w:rsid w:val="00654C00"/>
    <w:rsid w:val="0066565F"/>
    <w:rsid w:val="00666174"/>
    <w:rsid w:val="006817BE"/>
    <w:rsid w:val="006838CF"/>
    <w:rsid w:val="006C688E"/>
    <w:rsid w:val="006D5208"/>
    <w:rsid w:val="006F09B6"/>
    <w:rsid w:val="00703B68"/>
    <w:rsid w:val="00705F9D"/>
    <w:rsid w:val="00713AD5"/>
    <w:rsid w:val="007229B4"/>
    <w:rsid w:val="00766A55"/>
    <w:rsid w:val="00775316"/>
    <w:rsid w:val="007777A7"/>
    <w:rsid w:val="007816C1"/>
    <w:rsid w:val="00784554"/>
    <w:rsid w:val="00785182"/>
    <w:rsid w:val="007851E8"/>
    <w:rsid w:val="00797541"/>
    <w:rsid w:val="007B4094"/>
    <w:rsid w:val="007B7EE4"/>
    <w:rsid w:val="007C3069"/>
    <w:rsid w:val="007C628B"/>
    <w:rsid w:val="007F77AD"/>
    <w:rsid w:val="008022CC"/>
    <w:rsid w:val="00810B4B"/>
    <w:rsid w:val="00862553"/>
    <w:rsid w:val="00883242"/>
    <w:rsid w:val="008A558B"/>
    <w:rsid w:val="008B72CE"/>
    <w:rsid w:val="009032DF"/>
    <w:rsid w:val="009047AE"/>
    <w:rsid w:val="009754CB"/>
    <w:rsid w:val="00983C19"/>
    <w:rsid w:val="00990780"/>
    <w:rsid w:val="009A1627"/>
    <w:rsid w:val="009A4D33"/>
    <w:rsid w:val="009A7122"/>
    <w:rsid w:val="009B128B"/>
    <w:rsid w:val="009D3983"/>
    <w:rsid w:val="009E16B8"/>
    <w:rsid w:val="009E391C"/>
    <w:rsid w:val="009E6748"/>
    <w:rsid w:val="009F5349"/>
    <w:rsid w:val="00A00259"/>
    <w:rsid w:val="00A0716C"/>
    <w:rsid w:val="00A21989"/>
    <w:rsid w:val="00A30528"/>
    <w:rsid w:val="00A57F6E"/>
    <w:rsid w:val="00A73FB9"/>
    <w:rsid w:val="00A81DD4"/>
    <w:rsid w:val="00A93D21"/>
    <w:rsid w:val="00AB0CB7"/>
    <w:rsid w:val="00AD2CF7"/>
    <w:rsid w:val="00AD6F15"/>
    <w:rsid w:val="00AE0B4B"/>
    <w:rsid w:val="00B323C2"/>
    <w:rsid w:val="00B51CE3"/>
    <w:rsid w:val="00B53E78"/>
    <w:rsid w:val="00B63001"/>
    <w:rsid w:val="00B76FD3"/>
    <w:rsid w:val="00BA0712"/>
    <w:rsid w:val="00BC4113"/>
    <w:rsid w:val="00BC41B0"/>
    <w:rsid w:val="00C031A7"/>
    <w:rsid w:val="00C05C30"/>
    <w:rsid w:val="00C145D6"/>
    <w:rsid w:val="00C57945"/>
    <w:rsid w:val="00C64635"/>
    <w:rsid w:val="00CA2B5A"/>
    <w:rsid w:val="00CB24C7"/>
    <w:rsid w:val="00CC6C21"/>
    <w:rsid w:val="00CD7083"/>
    <w:rsid w:val="00CF0ECC"/>
    <w:rsid w:val="00D209B8"/>
    <w:rsid w:val="00D469AA"/>
    <w:rsid w:val="00D502BB"/>
    <w:rsid w:val="00D545AA"/>
    <w:rsid w:val="00D722D9"/>
    <w:rsid w:val="00D7312D"/>
    <w:rsid w:val="00DA6D3A"/>
    <w:rsid w:val="00DD2ABE"/>
    <w:rsid w:val="00DE4284"/>
    <w:rsid w:val="00E50790"/>
    <w:rsid w:val="00E65B57"/>
    <w:rsid w:val="00E741C8"/>
    <w:rsid w:val="00E97233"/>
    <w:rsid w:val="00EA69CC"/>
    <w:rsid w:val="00EA772F"/>
    <w:rsid w:val="00EB429C"/>
    <w:rsid w:val="00ED1C80"/>
    <w:rsid w:val="00EE2A79"/>
    <w:rsid w:val="00F22561"/>
    <w:rsid w:val="00F32A79"/>
    <w:rsid w:val="00F3785D"/>
    <w:rsid w:val="00F67809"/>
    <w:rsid w:val="00F72F8B"/>
    <w:rsid w:val="00F7700E"/>
    <w:rsid w:val="00F91394"/>
    <w:rsid w:val="00F92CB4"/>
    <w:rsid w:val="00F95E99"/>
    <w:rsid w:val="00FB27E2"/>
    <w:rsid w:val="00FB338C"/>
    <w:rsid w:val="00FF66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AA71E-D97D-48E7-8622-032C7A5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0D0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1D"/>
    <w:rPr>
      <w:rFonts w:ascii="Tahoma" w:hAnsi="Tahoma" w:cs="Tahoma"/>
      <w:sz w:val="16"/>
      <w:szCs w:val="16"/>
    </w:rPr>
  </w:style>
  <w:style w:type="character" w:styleId="CommentReference">
    <w:name w:val="annotation reference"/>
    <w:semiHidden/>
    <w:rsid w:val="00042129"/>
    <w:rPr>
      <w:sz w:val="16"/>
      <w:szCs w:val="16"/>
    </w:rPr>
  </w:style>
  <w:style w:type="paragraph" w:styleId="CommentText">
    <w:name w:val="annotation text"/>
    <w:basedOn w:val="Normal"/>
    <w:link w:val="CommentTextChar"/>
    <w:semiHidden/>
    <w:rsid w:val="00042129"/>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04212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90DCC"/>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90DCC"/>
    <w:rPr>
      <w:rFonts w:ascii="Times New Roman" w:eastAsia="Times New Roman" w:hAnsi="Times New Roman" w:cs="Times New Roman"/>
      <w:b/>
      <w:bCs/>
      <w:sz w:val="20"/>
      <w:szCs w:val="20"/>
      <w:lang w:eastAsia="bg-BG"/>
    </w:rPr>
  </w:style>
  <w:style w:type="paragraph" w:styleId="Revision">
    <w:name w:val="Revision"/>
    <w:hidden/>
    <w:uiPriority w:val="99"/>
    <w:semiHidden/>
    <w:rsid w:val="00390DCC"/>
    <w:pPr>
      <w:spacing w:after="0" w:line="240" w:lineRule="auto"/>
    </w:pPr>
  </w:style>
  <w:style w:type="table" w:styleId="TableGrid">
    <w:name w:val="Table Grid"/>
    <w:basedOn w:val="TableNormal"/>
    <w:uiPriority w:val="59"/>
    <w:rsid w:val="00E5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F32A79"/>
    <w:pPr>
      <w:spacing w:after="0" w:line="240" w:lineRule="auto"/>
      <w:jc w:val="center"/>
    </w:pPr>
    <w:rPr>
      <w:rFonts w:eastAsiaTheme="minorEastAsia"/>
      <w:sz w:val="28"/>
      <w:szCs w:val="28"/>
      <w:lang w:val="en-US"/>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F92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CB4"/>
    <w:rPr>
      <w:sz w:val="20"/>
      <w:szCs w:val="20"/>
    </w:rPr>
  </w:style>
  <w:style w:type="character" w:styleId="FootnoteReference">
    <w:name w:val="footnote reference"/>
    <w:basedOn w:val="DefaultParagraphFont"/>
    <w:uiPriority w:val="99"/>
    <w:semiHidden/>
    <w:unhideWhenUsed/>
    <w:rsid w:val="00F92CB4"/>
    <w:rPr>
      <w:vertAlign w:val="superscript"/>
    </w:rPr>
  </w:style>
  <w:style w:type="paragraph" w:styleId="NormalWeb">
    <w:name w:val="Normal (Web)"/>
    <w:basedOn w:val="Normal"/>
    <w:uiPriority w:val="99"/>
    <w:rsid w:val="000343BD"/>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Header">
    <w:name w:val="header"/>
    <w:basedOn w:val="Normal"/>
    <w:link w:val="HeaderChar"/>
    <w:uiPriority w:val="99"/>
    <w:unhideWhenUsed/>
    <w:rsid w:val="00BC41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4113"/>
  </w:style>
  <w:style w:type="paragraph" w:styleId="Footer">
    <w:name w:val="footer"/>
    <w:basedOn w:val="Normal"/>
    <w:link w:val="FooterChar"/>
    <w:uiPriority w:val="99"/>
    <w:unhideWhenUsed/>
    <w:rsid w:val="00BC41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646CC8-74BB-4864-A837-CC1EA559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9539</Words>
  <Characters>54376</Characters>
  <Application>Microsoft Office Word</Application>
  <DocSecurity>0</DocSecurity>
  <Lines>453</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MARIYA ALENTINOVA HRISTOVA</cp:lastModifiedBy>
  <cp:revision>252</cp:revision>
  <dcterms:created xsi:type="dcterms:W3CDTF">2024-02-12T11:20:00Z</dcterms:created>
  <dcterms:modified xsi:type="dcterms:W3CDTF">2024-03-28T07:56:00Z</dcterms:modified>
</cp:coreProperties>
</file>